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86"/>
        <w:gridCol w:w="4804"/>
      </w:tblGrid>
      <w:tr>
        <w:trPr>
          <w:trHeight w:val="2729" w:hRule="atLeast"/>
        </w:trPr>
        <w:tc>
          <w:tcPr>
            <w:tcW w:w="5186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  муниципального образования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Северский район</w:t>
            </w:r>
          </w:p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22 марта 2024 г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621</w:t>
            </w:r>
          </w:p>
        </w:tc>
      </w:tr>
    </w:tbl>
    <w:p>
      <w:pPr>
        <w:pStyle w:val="Normal"/>
        <w:spacing w:lineRule="auto" w:line="24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0" w:hanging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ПОРЯДОК</w:t>
      </w:r>
    </w:p>
    <w:p>
      <w:pPr>
        <w:pStyle w:val="Normal"/>
        <w:spacing w:lineRule="auto" w:line="240" w:before="0" w:after="29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финансирования мероприятий по улучшению условий</w:t>
      </w:r>
    </w:p>
    <w:p>
      <w:pPr>
        <w:pStyle w:val="Style30"/>
        <w:spacing w:lineRule="auto" w:line="240" w:before="0" w:after="29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охраны труда работников муниципальных учреждений</w:t>
      </w:r>
    </w:p>
    <w:p>
      <w:pPr>
        <w:pStyle w:val="Style30"/>
        <w:spacing w:lineRule="auto" w:line="240" w:before="0" w:after="29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Северский район</w:t>
      </w:r>
    </w:p>
    <w:p>
      <w:pPr>
        <w:pStyle w:val="Style30"/>
        <w:spacing w:lineRule="atLeast" w:line="283"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Настоящий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Порядок финансирования мероприятий </w:t>
      </w:r>
      <w:r>
        <w:rPr>
          <w:rFonts w:ascii="Times New Roman" w:hAnsi="Times New Roman"/>
          <w:sz w:val="28"/>
          <w:szCs w:val="28"/>
        </w:rPr>
        <w:t>по улучшению условий и охраны труда работников муниципальных учреждений муниципального образования Северский район 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 и охраны труда. Порядок распространяется на муниципальные учреждения муниципального образования Северский район (далее — муниципальные учреждения).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Финансирование мероприятий по улучшению условий  и охраны труда муниципальных учреждений осуществляется за счет средств бюджета муниципального образования Северский район. 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Финансирование мероприятий по улучшению условий и охраны труда может осуществляться также за счет добровольных взносов организаций и физических лиц, и внебюджетных источников.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Финансирование мероприятий по улучшению условий и охраны труда работодателями работников муниципальных учреждений осуществляется в размере не менее 0,2 процента суммы затрат на производство продукции (работ, услуг).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3.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Ежегодно работодателем за счет указанных средств реализуются мероприятия по улучшению условий и охраны труда, ликвидации или снижению уровней профессиональных рисков либо недопущению повышения их уровней в соответствии с Примерным перечнем, утвержденным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Приказом Министерства  труда  и  социальной  защиты      Российской       Федерации    от     29 октября 2021 года № 771н </w:t>
      </w:r>
      <w:r>
        <w:rPr>
          <w:rFonts w:ascii="Times New Roman" w:hAnsi="Times New Roman"/>
          <w:color w:val="auto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  <w:t xml:space="preserve"> 3.1. Примерный перечень ежегодно реализуемых работодателем состоит из следующих мероприятий по улучшению условий и охраны труда, ликвидации или снижению уровней профессиональных рисков либо недопущению повышения их уровней: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20"/>
          <w:szCs w:val="28"/>
        </w:rPr>
        <w:t xml:space="preserve">  </w:t>
      </w: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20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</w:t>
      </w:r>
    </w:p>
    <w:p>
      <w:pPr>
        <w:pStyle w:val="Style21"/>
        <w:spacing w:lineRule="auto" w:line="240" w:before="0" w:after="0"/>
        <w:ind w:hanging="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3) 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5) устройство новых и (или) модернизация имеющихся средств коллективной защиты работников от воздействия опасных и вредных производственных факторов;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PT Serif;serif" w:hAnsi="PT Serif;serif"/>
          <w:b w:val="false"/>
          <w:i w:val="false"/>
          <w:i w:val="false"/>
          <w:caps w:val="false"/>
          <w:smallCaps w:val="false"/>
          <w:color w:val="22272F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PT Serif;serif" w:hAnsi="PT Serif;serif"/>
          <w:b w:val="false"/>
          <w:i w:val="false"/>
          <w:i w:val="false"/>
          <w:caps w:val="false"/>
          <w:smallCaps w:val="false"/>
          <w:color w:val="22272F"/>
          <w:spacing w:val="0"/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7) внедрение систем автоматического контроля уровней опасных и вредных производственных факторов на рабочих местах;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8) внедрение и (или) модернизация технических устройств и приспособлений, обеспечивающих защиту работников от поражения электрическим током;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11) механизация работ при складировании и транспортировании сырья, готовой продукции и отходов производства;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0" w:name="p_26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" w:name="p_28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2" w:name="p_29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15) обеспечение естественного и искусственного освещения на рабочих местах, в бытовых помещениях, местах прохода работников;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3" w:name="p_30_Копия_1"/>
      <w:bookmarkEnd w:id="3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4" w:name="p_31"/>
      <w:bookmarkEnd w:id="4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17) приобретение и монтаж установок (автоматов) для обеспечения работников питьевой водой, систем фильтрации (очистки) водопроводной воды;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5" w:name="p_32"/>
      <w:bookmarkEnd w:id="5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6" w:name="p_33"/>
      <w:bookmarkEnd w:id="6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</w:t>
      </w:r>
    </w:p>
    <w:p>
      <w:pPr>
        <w:pStyle w:val="Style21"/>
        <w:widowControl/>
        <w:spacing w:lineRule="auto" w:line="240" w:before="57" w:after="57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>
      <w:pPr>
        <w:pStyle w:val="Style21"/>
        <w:widowControl/>
        <w:spacing w:lineRule="auto" w:line="240" w:before="0" w:after="26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7" w:name="p_37"/>
      <w:bookmarkEnd w:id="7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23) проведение обязательных предварительных и периодических медицинских осмотров (обследований);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8" w:name="p_38"/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9" w:name="p_39"/>
      <w:bookmarkEnd w:id="9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26.) организация и проведение производственного контроля;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0" w:name="p_41"/>
      <w:bookmarkEnd w:id="10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27) издание (тиражирование) инструкций, правил (стандартов) по охране труда;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1" w:name="p_42"/>
      <w:bookmarkEnd w:id="11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28) перепланировка размещения производственного оборудования, организация рабочих мест с целью обеспечения безопасности работников;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2" w:name="p_44"/>
      <w:bookmarkEnd w:id="12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30) реализация мероприятий, направленных на развитие физической культуры и спорта в трудовых коллективах, в том числе:</w:t>
      </w:r>
    </w:p>
    <w:p>
      <w:pPr>
        <w:pStyle w:val="Style21"/>
        <w:widowControl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3" w:name="p_45"/>
      <w:bookmarkEnd w:id="13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компенсация работникам оплаты занятий спортом в клубах и секциях;</w:t>
      </w:r>
    </w:p>
    <w:p>
      <w:pPr>
        <w:pStyle w:val="Style21"/>
        <w:widowControl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4" w:name="p_46"/>
      <w:bookmarkEnd w:id="14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>
      <w:pPr>
        <w:pStyle w:val="Style21"/>
        <w:widowControl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5" w:name="p_47"/>
      <w:bookmarkEnd w:id="15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>
      <w:pPr>
        <w:pStyle w:val="Style21"/>
        <w:widowControl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bookmarkStart w:id="16" w:name="p_48"/>
      <w:bookmarkEnd w:id="16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20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приобретение, содержание и обновление спортивного инвентаря;</w:t>
      </w:r>
    </w:p>
    <w:p>
      <w:pPr>
        <w:pStyle w:val="Style21"/>
        <w:widowControl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7" w:name="p_49"/>
      <w:bookmarkEnd w:id="17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устройство новых и (или) реконструкция имеющихся помещений и площадок для занятий спортом;</w:t>
      </w:r>
    </w:p>
    <w:p>
      <w:pPr>
        <w:pStyle w:val="Style21"/>
        <w:widowControl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8" w:name="p_50"/>
      <w:bookmarkEnd w:id="18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>
      <w:pPr>
        <w:pStyle w:val="Style21"/>
        <w:widowControl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bookmarkStart w:id="19" w:name="p_51"/>
      <w:bookmarkEnd w:id="19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20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</w:t>
      </w:r>
    </w:p>
    <w:p>
      <w:pPr>
        <w:pStyle w:val="Style21"/>
        <w:widowControl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20" w:name="p_52"/>
      <w:bookmarkEnd w:id="20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20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31) приобретение систем обеспечения безопасности работ на высоте;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/>
      </w:pPr>
      <w:bookmarkStart w:id="21" w:name="p_53"/>
      <w:bookmarkEnd w:id="21"/>
      <w:r>
        <w:rPr>
          <w:rFonts w:ascii="Times New Roman" w:hAnsi="Times New Roman"/>
          <w:color w:val="auto"/>
          <w:sz w:val="28"/>
          <w:szCs w:val="28"/>
        </w:rPr>
        <w:tab/>
        <w:t>32) разработка и приобретение электронных программ документооборота в области охраны труда в электронном виде с использованием</w:t>
      </w:r>
      <w:r>
        <w:rPr>
          <w:rFonts w:ascii="Times New Roman" w:hAnsi="Times New Roman"/>
          <w:color w:val="auto"/>
          <w:sz w:val="28"/>
          <w:szCs w:val="28"/>
          <w:u w:val="none"/>
        </w:rPr>
        <w:t> </w:t>
      </w:r>
      <w:r>
        <w:fldChar w:fldCharType="begin"/>
      </w:r>
      <w:r>
        <w:rPr>
          <w:rStyle w:val="-"/>
          <w:dstrike w:val="false"/>
          <w:strike w:val="false"/>
          <w:sz w:val="28"/>
          <w:u w:val="none"/>
          <w:effect w:val="none"/>
          <w:szCs w:val="28"/>
          <w:rFonts w:ascii="Times New Roman" w:hAnsi="Times New Roman"/>
          <w:color w:val="auto"/>
        </w:rPr>
        <w:instrText xml:space="preserve"> HYPERLINK "https://internet.garant.ru/" \l "/document/12184522/entry/21"</w:instrText>
      </w:r>
      <w:r>
        <w:rPr>
          <w:rStyle w:val="-"/>
          <w:dstrike w:val="false"/>
          <w:strike w:val="false"/>
          <w:sz w:val="28"/>
          <w:u w:val="none"/>
          <w:effect w:val="none"/>
          <w:szCs w:val="28"/>
          <w:rFonts w:ascii="Times New Roman" w:hAnsi="Times New Roman"/>
          <w:color w:val="auto"/>
        </w:rPr>
        <w:fldChar w:fldCharType="separate"/>
      </w:r>
      <w:r>
        <w:rPr>
          <w:rStyle w:val="-"/>
          <w:rFonts w:ascii="Times New Roman" w:hAnsi="Times New Roman"/>
          <w:strike w:val="false"/>
          <w:dstrike w:val="false"/>
          <w:color w:val="auto"/>
          <w:sz w:val="28"/>
          <w:szCs w:val="28"/>
          <w:u w:val="none"/>
          <w:effect w:val="none"/>
        </w:rPr>
        <w:t>электронной</w:t>
      </w:r>
      <w:r>
        <w:rPr>
          <w:rStyle w:val="-"/>
          <w:dstrike w:val="false"/>
          <w:strike w:val="false"/>
          <w:sz w:val="28"/>
          <w:u w:val="none"/>
          <w:effect w:val="none"/>
          <w:szCs w:val="28"/>
          <w:rFonts w:ascii="Times New Roman" w:hAnsi="Times New Roman"/>
          <w:color w:val="auto"/>
        </w:rPr>
        <w:fldChar w:fldCharType="end"/>
      </w:r>
      <w:r>
        <w:rPr>
          <w:rStyle w:val="-"/>
          <w:rFonts w:ascii="Times New Roman" w:hAnsi="Times New Roman"/>
          <w:strike w:val="false"/>
          <w:dstrike w:val="false"/>
          <w:color w:val="auto"/>
          <w:sz w:val="28"/>
          <w:szCs w:val="28"/>
          <w:u w:val="single"/>
          <w:effect w:val="none"/>
        </w:rPr>
        <w:t xml:space="preserve"> </w:t>
      </w:r>
      <w:r>
        <w:rPr>
          <w:rStyle w:val="-"/>
          <w:rFonts w:ascii="Times New Roman" w:hAnsi="Times New Roman"/>
          <w:strike w:val="false"/>
          <w:dstrike w:val="false"/>
          <w:color w:val="auto"/>
          <w:sz w:val="28"/>
          <w:szCs w:val="28"/>
          <w:u w:val="none"/>
          <w:effect w:val="none"/>
        </w:rPr>
        <w:t>подписи</w:t>
      </w:r>
      <w:r>
        <w:rPr>
          <w:rFonts w:ascii="Times New Roman" w:hAnsi="Times New Roman"/>
          <w:strike w:val="false"/>
          <w:dstrike w:val="false"/>
          <w:color w:val="auto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или любого другого способа, позволяющего идентифицировать личность работника, в соответствии с законодательством Российской Федерации;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PT Serif;serif" w:hAnsi="PT Serif;serif"/>
          <w:b w:val="false"/>
          <w:i w:val="false"/>
          <w:i w:val="false"/>
          <w:caps w:val="false"/>
          <w:smallCaps w:val="false"/>
          <w:color w:val="22272F"/>
          <w:spacing w:val="0"/>
          <w:sz w:val="20"/>
        </w:rPr>
      </w:pPr>
      <w:bookmarkStart w:id="22" w:name="p_54"/>
      <w:bookmarkEnd w:id="22"/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20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PT Serif;serif" w:hAnsi="PT Serif;serif"/>
          <w:b w:val="false"/>
          <w:i w:val="false"/>
          <w:i w:val="false"/>
          <w:caps w:val="false"/>
          <w:smallCaps w:val="false"/>
          <w:color w:val="22272F"/>
          <w:spacing w:val="0"/>
          <w:sz w:val="20"/>
        </w:rPr>
      </w:pPr>
      <w:r>
        <w:rPr>
          <w:rFonts w:ascii="PT Serif;serif" w:hAnsi="PT Serif;serif"/>
          <w:b w:val="false"/>
          <w:i w:val="false"/>
          <w:caps w:val="false"/>
          <w:smallCaps w:val="false"/>
          <w:color w:val="22272F"/>
          <w:spacing w:val="0"/>
          <w:sz w:val="20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3.2. Перечень дополнительных мероприятий по улучшению условий и охраны труда: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3.2.1 Расходы компенсационного характера, которые обусловлены работой в неблагоприятных  условиях труда, связанные с возмещением вреда пострадавшим  в связи с несчастными случаями на производстве и профессиональными заболеваниями: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- 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3.2.2.Дополнительные социальные гарантии и компенсации, установленные коллективным договором организации: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- оздоровление работника;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-</w:t>
      </w:r>
      <w:r>
        <w:rPr>
          <w:rFonts w:eastAsia="" w:cs="" w:ascii="Times New Roman" w:hAnsi="Times New Roman" w:cstheme="minorBidi" w:eastAsiaTheme="minorEastAsia"/>
          <w:b w:val="false"/>
          <w:i w:val="false"/>
          <w:caps w:val="false"/>
          <w:smallCaps w:val="false"/>
          <w:color w:val="22272F"/>
          <w:spacing w:val="0"/>
          <w:sz w:val="28"/>
          <w:szCs w:val="28"/>
          <w:shd w:fill="auto" w:val="clear"/>
        </w:rPr>
        <w:t xml:space="preserve"> иные </w:t>
      </w:r>
      <w:r>
        <w:rPr>
          <w:rStyle w:val="Style19"/>
          <w:rFonts w:eastAsia="" w:cs="" w:ascii="Times New Roman" w:hAnsi="Times New Roman" w:cstheme="minorBidi" w:eastAsiaTheme="minorEastAsia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дополнительные гарантии </w:t>
      </w:r>
      <w:r>
        <w:rPr>
          <w:rFonts w:eastAsia="" w:cs="" w:ascii="Times New Roman" w:hAnsi="Times New Roman" w:cstheme="minorBidi" w:eastAsiaTheme="minorEastAsia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и </w:t>
      </w:r>
      <w:r>
        <w:rPr>
          <w:rStyle w:val="Style19"/>
          <w:rFonts w:eastAsia="" w:cs="" w:ascii="Times New Roman" w:hAnsi="Times New Roman" w:cstheme="minorBidi" w:eastAsiaTheme="minorEastAsia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компенсации по улучшению условий и охраны труда.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/>
      </w:pPr>
      <w:r>
        <w:rPr>
          <w:rStyle w:val="Style19"/>
          <w:rFonts w:eastAsia="" w:cs="" w:ascii="Times New Roman" w:hAnsi="Times New Roman" w:cstheme="minorBidi" w:eastAsiaTheme="minorEastAsia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4. Работник муниципального учреждения не несет расходов на финансирование мероприятий по улучшению условий и охраны труда.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5. Планирование расходов на мероприятия по улучшению условий и охраны труда в муниципальных учреждениях муниципального образования Северский район  осуществляется на очередной финансовый год и на плановый период в следующем порядке: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- в казенных учреждениях муниципального образования Северский район - в пределах утвержденной сметы учреждения;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-в автономных и бюджетных учреждениях муниципального образования Северский район — при составлении плана финансово-хозяйственной деятельности учреждения.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6. Финансирование мероприятий по улучшению условий и охраны труда осуществляется: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- в казенных учреждениях муниципального образования Северский район - в пределах утвержденной бюджетной сметы учреждения;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- в автономных и бюджетных учреждениях муниципального образования Северский район — в пределах утвержденного плана финансово-хозяйственной деятельности учреждения.</w:t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21"/>
        <w:widowControl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1"/>
        <w:widowControl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567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(начальник финансового управления)</w:t>
        <w:tab/>
        <w:tab/>
        <w:tab/>
        <w:t xml:space="preserve">                       К.В.Леуцкая</w:t>
      </w:r>
    </w:p>
    <w:p>
      <w:pPr>
        <w:sectPr>
          <w:type w:val="continuous"/>
          <w:pgSz w:w="11906" w:h="16838"/>
          <w:pgMar w:left="1701" w:right="567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701" w:right="567" w:gutter="0" w:header="0" w:top="1134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PT Serif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70d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b38cf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ab38cf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Цветовое выделение"/>
    <w:uiPriority w:val="99"/>
    <w:qFormat/>
    <w:rsid w:val="00ab38cf"/>
    <w:rPr>
      <w:b/>
      <w:bCs/>
      <w:color w:val="26282F"/>
    </w:rPr>
  </w:style>
  <w:style w:type="character" w:styleId="Style14" w:customStyle="1">
    <w:name w:val="Гипертекстовая ссылка"/>
    <w:basedOn w:val="Style13"/>
    <w:uiPriority w:val="99"/>
    <w:qFormat/>
    <w:rsid w:val="00ab38cf"/>
    <w:rPr>
      <w:b/>
      <w:bCs/>
      <w:color w:val="106BB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65974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f65974"/>
    <w:rPr/>
  </w:style>
  <w:style w:type="character" w:styleId="-">
    <w:name w:val="Hyperlink"/>
    <w:rPr>
      <w:color w:val="000080"/>
      <w:u w:val="single"/>
    </w:rPr>
  </w:style>
  <w:style w:type="character" w:styleId="Style17">
    <w:name w:val="Цветовое выделение для Текст"/>
    <w:qFormat/>
    <w:rPr/>
  </w:style>
  <w:style w:type="character" w:styleId="Style18">
    <w:name w:val="Основной шрифт абзаца"/>
    <w:qFormat/>
    <w:rPr/>
  </w:style>
  <w:style w:type="character" w:styleId="WW8Num1z0">
    <w:name w:val="WW8Num1z0"/>
    <w:qFormat/>
    <w:rPr/>
  </w:style>
  <w:style w:type="character" w:styleId="Style19">
    <w:name w:val="Emphasis"/>
    <w:qFormat/>
    <w:rPr>
      <w:i/>
      <w:i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9c11f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ab38cf"/>
    <w:pPr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6" w:customStyle="1">
    <w:name w:val="Прижатый влево"/>
    <w:basedOn w:val="Normal"/>
    <w:next w:val="Normal"/>
    <w:uiPriority w:val="99"/>
    <w:qFormat/>
    <w:rsid w:val="00ab38cf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5"/>
    <w:uiPriority w:val="99"/>
    <w:unhideWhenUsed/>
    <w:rsid w:val="00f6597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6"/>
    <w:uiPriority w:val="99"/>
    <w:semiHidden/>
    <w:unhideWhenUsed/>
    <w:rsid w:val="00f6597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Без интервала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1526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Application>LibreOffice/7.5.3.2$Windows_x86 LibreOffice_project/9f56dff12ba03b9acd7730a5a481eea045e468f3</Application>
  <AppVersion>15.0000</AppVersion>
  <Pages>6</Pages>
  <Words>1425</Words>
  <Characters>10966</Characters>
  <CharactersWithSpaces>12458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SarkisovaMG</dc:creator>
  <dc:description/>
  <dc:language>ru-RU</dc:language>
  <cp:lastModifiedBy/>
  <cp:lastPrinted>2023-11-28T16:39:08Z</cp:lastPrinted>
  <dcterms:modified xsi:type="dcterms:W3CDTF">2024-03-26T15:16:00Z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