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widowControl/>
        <w:ind w:left="9923" w:hanging="0"/>
        <w:jc w:val="center"/>
        <w:rPr/>
      </w:pPr>
      <w:r>
        <w:rPr>
          <w:rFonts w:ascii="Times New Roman" w:hAnsi="Times New Roman"/>
          <w:sz w:val="24"/>
          <w:szCs w:val="24"/>
        </w:rPr>
        <w:t>Приложение № 1</w:t>
      </w:r>
    </w:p>
    <w:p>
      <w:pPr>
        <w:pStyle w:val="Normal"/>
        <w:keepNext w:val="false"/>
        <w:keepLines w:val="false"/>
        <w:widowControl/>
        <w:ind w:left="9923" w:hanging="0"/>
        <w:jc w:val="center"/>
        <w:rPr/>
      </w:pPr>
      <w:r>
        <w:rPr>
          <w:rFonts w:ascii="Times New Roman" w:hAnsi="Times New Roman"/>
          <w:sz w:val="24"/>
          <w:szCs w:val="24"/>
        </w:rPr>
        <w:t>к ведомственному стандарту внутреннего муниципального финансового контроля «Планирование проверок, ревизий и обследований», утвержденному приказом</w:t>
      </w:r>
    </w:p>
    <w:p>
      <w:pPr>
        <w:pStyle w:val="Normal"/>
        <w:widowControl/>
        <w:ind w:left="9923" w:hanging="0"/>
        <w:jc w:val="center"/>
        <w:rPr/>
      </w:pPr>
      <w:r>
        <w:rPr>
          <w:rFonts w:ascii="Times New Roman" w:hAnsi="Times New Roman"/>
          <w:sz w:val="24"/>
          <w:szCs w:val="24"/>
        </w:rPr>
        <w:t xml:space="preserve">финансового управления </w:t>
      </w:r>
    </w:p>
    <w:p>
      <w:pPr>
        <w:pStyle w:val="Normal"/>
        <w:widowControl/>
        <w:ind w:left="9923" w:hanging="0"/>
        <w:jc w:val="center"/>
        <w:rPr/>
      </w:pPr>
      <w:r>
        <w:rPr>
          <w:rFonts w:ascii="Times New Roman" w:hAnsi="Times New Roman"/>
          <w:sz w:val="24"/>
          <w:szCs w:val="24"/>
        </w:rPr>
        <w:t>от 11 января 2022 года № 3</w:t>
      </w:r>
    </w:p>
    <w:p>
      <w:pPr>
        <w:pStyle w:val="Normal"/>
        <w:widowControl/>
        <w:ind w:left="9923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left="9923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keepNext w:val="false"/>
        <w:keepLines w:val="false"/>
        <w:widowControl/>
        <w:bidi w:val="0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ТАБЛИЦА ОПРЕДЕЛЕНИЯ ЗНАЧЕНИЯ КРИТЕРИЯ «ВЕРОЯТНОСТЬ ДОПУЩЕНИЯ НАРУШЕНИЯ»</w:t>
      </w:r>
    </w:p>
    <w:p>
      <w:pPr>
        <w:pStyle w:val="Normal"/>
        <w:widowControl/>
        <w:bidi w:val="0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a6"/>
        <w:tblW w:w="14570" w:type="dxa"/>
        <w:jc w:val="left"/>
        <w:tblInd w:w="-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358"/>
        <w:gridCol w:w="1217"/>
        <w:gridCol w:w="3459"/>
        <w:gridCol w:w="1320"/>
        <w:gridCol w:w="4398"/>
      </w:tblGrid>
      <w:tr>
        <w:trPr>
          <w:tblHeader w:val="true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Номер показа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теля</w:t>
            </w:r>
          </w:p>
        </w:tc>
        <w:tc>
          <w:tcPr>
            <w:tcW w:w="3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Максимальное значение показателя, баллы</w:t>
            </w:r>
          </w:p>
        </w:tc>
        <w:tc>
          <w:tcPr>
            <w:tcW w:w="4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Расчет показателя</w:t>
            </w:r>
          </w:p>
        </w:tc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Комментарии</w:t>
            </w:r>
          </w:p>
        </w:tc>
      </w:tr>
      <w:tr>
        <w:trPr>
          <w:tblHeader w:val="true"/>
          <w:trHeight w:val="956" w:hRule="atLeast"/>
        </w:trPr>
        <w:tc>
          <w:tcPr>
            <w:tcW w:w="817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335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217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Порядок расчета показателя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Значение показателя, баллы (Р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vertAlign w:val="subscript"/>
                <w:lang w:val="ru-RU" w:eastAsia="ru-RU" w:bidi="ar-SA"/>
              </w:rPr>
              <w:t>вер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)</w:t>
            </w:r>
          </w:p>
        </w:tc>
        <w:tc>
          <w:tcPr>
            <w:tcW w:w="43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tblHeader w:val="true"/>
        </w:trPr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Значения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статьи 160.2-1 Бюджетного кодекса РФ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Значение итоговой оценки качества финансового менеджмента до 70 баллов включительно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Значение итоговой оценки качества финансового менеджмента от 70 баллов до 90 баллов включительно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Значение итоговой оценки качества финансового менеджмента свыше 90 баллов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Значения итоговой оценки качества финансового менеджмента главных администраторов средств бюджета муниципального образования Северский район  определяется на основании результатов мониторинга качества финансового менеджмента, проведенного финансовым управлением администрации муниципального образования Северский район в установленном им порядке за год, предшествующий году, в котором осуществляется планирование контрольных мероприятий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 w:eastAsia="ru-RU"/>
              </w:rPr>
              <w:t>Значение показателей качества управления финансами в публично-правовых образованиях, получающих целевые межбюджетные трансферты и бюджетные кредиты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Достижение показателей качества управления финансами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70 баллов включительно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Достижение показателей качества управления финансами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 70 баллов до 90 баллов включительно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Достижение показателей качества управления финансами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свыше 90 баллов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Значения итоговой оценки качества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управления финансами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муниципальных образований городских и сельских поселений Северского района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 определяется на основании результатов мониторинга качества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управления финансами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, проведенного финансовым управлением администрации муниципального образования Северский район в установленном им порядке за год, предшествующий году, в котором осуществляется планирование контрольных мероприятий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Наличие в проверяемом периоде изменений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состава видов деятельности (полномочий), в том числе, закрепление новых видов оказываемых услуг и выполненных работ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Отсутствие в проверяемом периоде значительных изменений в деятельности объекта контроля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Значение показателя определяется на основании информации о деятельности объекта контроля, размещенной в информационно-телекоммуникационной сети «Интернет» на официальном сайте для размещения информации о государственных и муниципальных учреждениях www.bus.gov.ru, официальном сайте администрации муниципального образования Северский район sevadm.ru, официальных сайтах администраций городских и сельских поселений Северского района, официальных сайтах муниципальных учреждений, а также информации, представленной по запросам органа контроля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в сфере бюджетного законодательства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 результатам проведенных органом контроля и иными уполномоченными органами контрольных мероприятий в проверяемом периоде выявлены нарушения бюджетного законодательства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>
            <w:pPr>
              <w:pStyle w:val="Normal"/>
              <w:keepNext w:val="false"/>
              <w:keepLines w:val="false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val="ru-RU" w:bidi="ar-SA"/>
              </w:rPr>
              <w:t>По результатам проведенных органом контроля и иными уполномоченными органами контрольных мероприятий в проверяемом периоде  нарушений бюджетного законодательства не выявлено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Значение показателя определяется на основании отчетности органа контроля, информации о деятельности объекта контроля, размещенной в информационно-телекоммуникационной сети «Интернет» на официальном сайте для размещения информации о государственных и муниципальных учреждениях www.bus.gov.ru,  официальном сайте администрации муниципального образования Северский район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ru-RU" w:bidi="ar-SA"/>
              </w:rPr>
              <w:t>sev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adm.ru, официальных сайтах администраций городских и сельских поселений Северского района, официальных сайтах муниципальных учреждений, а также информации, представленной по запросам органа контроля.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Показатель не оценивается, если контрольные мероприятия в отношении объекта контроля по соответствующему предмету контроля не проводились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сфере закупок в отношении объекта контроля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 результатам проведенных в проверяемом периоде контрольных мероприятий выявлены нарушения Федерального закона от 05.04.2013    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имеющие признаки административных правонарушений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 результатам проведенных в проверяемом периоде контрольных мероприятий выявлены нарушения Федерального закона № 44-ФЗ (за исключением нарушений, имеющих признаки административных правонарушений)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Отсутствие нарушений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Значение показателя определяется на основании отчетности органа контроля, информации о деятельности объекта контроля, размещенной в информационно-телекоммуникационной сети «Интернет» на официальном сайте для размещения информации о государственных и муниципальных учреждениях www.bus.gov.ru, ЕИС,  официальном сайте администрации муниципального образования Северский район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ru-RU" w:bidi="ar-SA"/>
              </w:rPr>
              <w:t>sev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adm.ru, официальных сайтах администраций городских и сельских поселений Северского района, официальных сайтах учреждений, а также информации, представленной по запросам органа контроля.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Показатель не оценивается, если контрольные мероприятия в отношении объекта контроля по соответствующему предмету контроля не проводились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Представления и (или) предписания, по результатам ранее проведенных контрольных мероприятий не исполнены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Представления и (или) предписания по результатам ранее проведенных контрольных мероприятий исполнены или не направлялись по причине отсутствия оснований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Значение показателя определяется на основании отчетности органа контроля, информации, размещенной в информационно-телекоммуникационной сети «Интернет» на официальном сайте для размещения информации о государственных и муниципальных учреждениях www.bus.gov.ru, ЕИС,   официальном сайте администрации муниципального образования Северский район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ru-RU" w:bidi="ar-SA"/>
              </w:rPr>
              <w:t>sev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adm.ru, официальных сайтах администраций городских и сельских поселений Северского района,  официальных сайтах муниципальных учреждений,  а также информации, представленной по запросам органа контроля.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Показатель не оценивается, если контрольные мероприятия в отношении объекта контроля по соответствующему предмету контроля не проводились</w:t>
            </w:r>
          </w:p>
        </w:tc>
      </w:tr>
      <w:tr>
        <w:trPr/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3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Наличие (отсутствие) в отношении объекта контроля обращений (жалоб) граждан, объединений граждан, юридических лиц, поступивших в органы контроля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4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Наличие в текущем году обращений (жалоб) граждан, объединений граждан, юридических лиц, поступивших в органы контроля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Отсутствие в текущем году обращений (жалоб) граждан, объединений граждан, юридических лиц, поступивших в органы контроля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Обращения (жалобы) граждан, объединений граждан, юридических лиц, поступившие в органы контроля в текущем году</w:t>
            </w:r>
          </w:p>
        </w:tc>
      </w:tr>
      <w:tr>
        <w:trPr/>
        <w:tc>
          <w:tcPr>
            <w:tcW w:w="5392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ИТОГОВАЯ ОЦЕНКА КРИТЕРИЯ ВЕРОЯТНОСТЬ ДОПУЩЕНИЯ НАРУШЕНИЯ, баллы</w:t>
            </w:r>
          </w:p>
        </w:tc>
        <w:tc>
          <w:tcPr>
            <w:tcW w:w="917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 xml:space="preserve">Kвер= Σ Pвер, </w:t>
            </w:r>
            <w:r>
              <w:rPr>
                <w:rFonts w:eastAsia="Times New Roman" w:cs="PT Astra Serif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где</w:t>
            </w:r>
          </w:p>
        </w:tc>
      </w:tr>
      <w:tr>
        <w:trPr/>
        <w:tc>
          <w:tcPr>
            <w:tcW w:w="5392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17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Kвер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– значение критерия «вероятность»;</w:t>
            </w:r>
          </w:p>
        </w:tc>
      </w:tr>
      <w:tr>
        <w:trPr/>
        <w:tc>
          <w:tcPr>
            <w:tcW w:w="5392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17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 xml:space="preserve">Pвер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– показатели, используемые для определения критерия «вероятность»;</w:t>
            </w:r>
          </w:p>
        </w:tc>
      </w:tr>
      <w:tr>
        <w:trPr/>
        <w:tc>
          <w:tcPr>
            <w:tcW w:w="5392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17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Если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 xml:space="preserve"> Kвер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от 0 до 30 баллов – значение критерия «вероятность» низкое;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Kвер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от 30 до 60 баллов - среднее;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0"/>
                <w:szCs w:val="20"/>
                <w:lang w:val="ru-RU" w:eastAsia="ru-RU" w:bidi="ar-SA"/>
              </w:rPr>
              <w:t>Kвер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от 60 и более – высокое.</w:t>
            </w:r>
          </w:p>
        </w:tc>
      </w:tr>
    </w:tbl>
    <w:p>
      <w:pPr>
        <w:pStyle w:val="Normal"/>
        <w:keepNext w:val="false"/>
        <w:keepLines w:val="false"/>
        <w:widowControl/>
        <w:bidi w:val="0"/>
        <w:spacing w:lineRule="auto" w:line="240" w:before="0" w:after="0"/>
        <w:ind w:left="10065" w:hanging="0"/>
        <w:jc w:val="left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keepNext w:val="false"/>
        <w:keepLines w:val="false"/>
        <w:widowControl/>
        <w:tabs>
          <w:tab w:val="clear" w:pos="709"/>
          <w:tab w:val="right" w:pos="10093" w:leader="none"/>
        </w:tabs>
        <w:suppressAutoHyphens w:val="true"/>
        <w:bidi w:val="0"/>
        <w:spacing w:lineRule="auto" w:line="240" w:before="0" w:after="0"/>
        <w:ind w:left="10035" w:right="0" w:hanging="1003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keepNext w:val="false"/>
        <w:keepLines w:val="false"/>
        <w:widowControl/>
        <w:tabs>
          <w:tab w:val="clear" w:pos="709"/>
          <w:tab w:val="right" w:pos="10093" w:leader="none"/>
        </w:tabs>
        <w:suppressAutoHyphens w:val="true"/>
        <w:bidi w:val="0"/>
        <w:spacing w:lineRule="auto" w:line="240" w:before="0" w:after="0"/>
        <w:ind w:left="10035" w:right="0" w:hanging="1003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keepNext w:val="false"/>
        <w:keepLines w:val="false"/>
        <w:widowControl/>
        <w:tabs>
          <w:tab w:val="clear" w:pos="709"/>
          <w:tab w:val="right" w:pos="10093" w:leader="none"/>
        </w:tabs>
        <w:suppressAutoHyphens w:val="true"/>
        <w:bidi w:val="0"/>
        <w:spacing w:lineRule="auto" w:line="240" w:before="0" w:after="0"/>
        <w:ind w:left="10035" w:right="0" w:hanging="10035"/>
        <w:jc w:val="left"/>
        <w:rPr/>
      </w:pPr>
      <w:r>
        <w:rPr>
          <w:rFonts w:ascii="Times New Roman" w:hAnsi="Times New Roman"/>
          <w:lang w:val="ru-RU"/>
        </w:rPr>
        <w:t>Начальник отдела внутреннего</w:t>
      </w:r>
    </w:p>
    <w:p>
      <w:pPr>
        <w:pStyle w:val="Normal"/>
        <w:widowControl/>
        <w:tabs>
          <w:tab w:val="clear" w:pos="709"/>
          <w:tab w:val="right" w:pos="10093" w:leader="none"/>
        </w:tabs>
        <w:suppressAutoHyphens w:val="true"/>
        <w:bidi w:val="0"/>
        <w:spacing w:lineRule="auto" w:line="240" w:before="0" w:after="0"/>
        <w:ind w:left="10035" w:right="0" w:hanging="10035"/>
        <w:jc w:val="left"/>
        <w:rPr/>
      </w:pPr>
      <w:r>
        <w:rPr>
          <w:rFonts w:ascii="Times New Roman" w:hAnsi="Times New Roman"/>
          <w:lang w:val="ru-RU"/>
        </w:rPr>
        <w:t>контроля финансового управления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С.Н.Олейник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gutter="0" w:header="332" w:top="67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bidi w:val="0"/>
      <w:spacing w:lineRule="auto" w:line="240" w:before="0" w:after="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66933317"/>
    </w:sdtPr>
    <w:sdtContent>
      <w:p>
        <w:pPr>
          <w:pStyle w:val="Style21"/>
          <w:bidi w:val="0"/>
          <w:jc w:val="center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259</TotalTime>
  <Application>LibreOffice/7.2.1.2$Windows_x86 LibreOffice_project/87b77fad49947c1441b67c559c339af8f3517e22</Application>
  <AppVersion>15.0000</AppVersion>
  <Pages>4</Pages>
  <Words>966</Words>
  <Characters>7480</Characters>
  <CharactersWithSpaces>8524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2021-11-19T10:28:05Z</dcterms:created>
  <dc:creator/>
  <dc:description/>
  <dc:language>ru-RU</dc:language>
  <cp:lastModifiedBy/>
  <cp:lastPrinted>2022-01-10T11:16:54Z</cp:lastPrinted>
  <dcterms:modified xsi:type="dcterms:W3CDTF">2022-02-02T16:54:02Z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