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E955F" w14:textId="78656A90" w:rsidR="00E065EA" w:rsidRPr="008C5A9B" w:rsidRDefault="008C5A9B" w:rsidP="008C5A9B">
      <w:pPr>
        <w:jc w:val="center"/>
        <w:rPr>
          <w:rFonts w:ascii="Times New Roman" w:hAnsi="Times New Roman" w:cs="Times New Roman"/>
          <w:sz w:val="28"/>
          <w:szCs w:val="28"/>
        </w:rPr>
      </w:pPr>
      <w:r w:rsidRPr="008C5A9B">
        <w:rPr>
          <w:rStyle w:val="a5"/>
          <w:rFonts w:ascii="Times New Roman" w:hAnsi="Times New Roman" w:cs="Times New Roman"/>
          <w:color w:val="231F20"/>
          <w:sz w:val="28"/>
          <w:szCs w:val="28"/>
        </w:rPr>
        <w:t>Перечень возможных мероприятий направленных на снижение комплаенс-рисков в органах исполнительной власти и органах местного самоуправления муниципальных образований</w:t>
      </w:r>
    </w:p>
    <w:tbl>
      <w:tblPr>
        <w:tblStyle w:val="a3"/>
        <w:tblW w:w="0" w:type="auto"/>
        <w:tblLook w:val="04A0" w:firstRow="1" w:lastRow="0" w:firstColumn="1" w:lastColumn="0" w:noHBand="0" w:noVBand="1"/>
      </w:tblPr>
      <w:tblGrid>
        <w:gridCol w:w="1129"/>
        <w:gridCol w:w="2911"/>
        <w:gridCol w:w="6157"/>
        <w:gridCol w:w="1452"/>
        <w:gridCol w:w="2911"/>
      </w:tblGrid>
      <w:tr w:rsidR="009F1A9B" w14:paraId="26FB4298" w14:textId="77777777" w:rsidTr="008C66C1">
        <w:tc>
          <w:tcPr>
            <w:tcW w:w="1129" w:type="dxa"/>
            <w:vAlign w:val="center"/>
          </w:tcPr>
          <w:p w14:paraId="0B7C24EF" w14:textId="5FE43088"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 п/п</w:t>
            </w:r>
          </w:p>
        </w:tc>
        <w:tc>
          <w:tcPr>
            <w:tcW w:w="2911" w:type="dxa"/>
            <w:vAlign w:val="center"/>
          </w:tcPr>
          <w:p w14:paraId="34A18E8F" w14:textId="5026BF41"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Наименование комплаенс-риска</w:t>
            </w:r>
          </w:p>
        </w:tc>
        <w:tc>
          <w:tcPr>
            <w:tcW w:w="6157" w:type="dxa"/>
            <w:vAlign w:val="center"/>
          </w:tcPr>
          <w:p w14:paraId="0B056735" w14:textId="77777777" w:rsid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Наименование мероприятий по минимизации</w:t>
            </w:r>
          </w:p>
          <w:p w14:paraId="34E6E475" w14:textId="69551BDE"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комплаенс-рисков</w:t>
            </w:r>
          </w:p>
        </w:tc>
        <w:tc>
          <w:tcPr>
            <w:tcW w:w="1452" w:type="dxa"/>
            <w:vAlign w:val="center"/>
          </w:tcPr>
          <w:p w14:paraId="18D7348C" w14:textId="56826D71"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Срок исполнения</w:t>
            </w:r>
          </w:p>
        </w:tc>
        <w:tc>
          <w:tcPr>
            <w:tcW w:w="2911" w:type="dxa"/>
            <w:vAlign w:val="center"/>
          </w:tcPr>
          <w:p w14:paraId="1307A2BF" w14:textId="64AD6E7A"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Планируемый результат</w:t>
            </w:r>
          </w:p>
        </w:tc>
      </w:tr>
      <w:tr w:rsidR="009F1A9B" w14:paraId="6720A69E" w14:textId="77777777" w:rsidTr="008C66C1">
        <w:tc>
          <w:tcPr>
            <w:tcW w:w="1129" w:type="dxa"/>
            <w:vAlign w:val="center"/>
          </w:tcPr>
          <w:p w14:paraId="10368675" w14:textId="6C7423C5"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1</w:t>
            </w:r>
          </w:p>
        </w:tc>
        <w:tc>
          <w:tcPr>
            <w:tcW w:w="2911" w:type="dxa"/>
            <w:vAlign w:val="center"/>
          </w:tcPr>
          <w:p w14:paraId="16D0E3B0" w14:textId="3E8D3A85"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2</w:t>
            </w:r>
          </w:p>
        </w:tc>
        <w:tc>
          <w:tcPr>
            <w:tcW w:w="6157" w:type="dxa"/>
            <w:vAlign w:val="center"/>
          </w:tcPr>
          <w:p w14:paraId="66BB9EB7" w14:textId="4B0AE731"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3</w:t>
            </w:r>
          </w:p>
        </w:tc>
        <w:tc>
          <w:tcPr>
            <w:tcW w:w="1452" w:type="dxa"/>
            <w:vAlign w:val="center"/>
          </w:tcPr>
          <w:p w14:paraId="46C4D322" w14:textId="7C542BB2"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5</w:t>
            </w:r>
          </w:p>
        </w:tc>
        <w:tc>
          <w:tcPr>
            <w:tcW w:w="2911" w:type="dxa"/>
            <w:vAlign w:val="center"/>
          </w:tcPr>
          <w:p w14:paraId="07E49479" w14:textId="441D5741" w:rsidR="009F1A9B" w:rsidRPr="009F1A9B" w:rsidRDefault="009F1A9B" w:rsidP="009F1A9B">
            <w:pPr>
              <w:jc w:val="center"/>
              <w:rPr>
                <w:rFonts w:ascii="Times New Roman" w:hAnsi="Times New Roman" w:cs="Times New Roman"/>
                <w:sz w:val="24"/>
                <w:szCs w:val="24"/>
              </w:rPr>
            </w:pPr>
            <w:r w:rsidRPr="009F1A9B">
              <w:rPr>
                <w:rFonts w:ascii="Times New Roman" w:hAnsi="Times New Roman" w:cs="Times New Roman"/>
                <w:sz w:val="24"/>
                <w:szCs w:val="24"/>
              </w:rPr>
              <w:t>6</w:t>
            </w:r>
          </w:p>
        </w:tc>
      </w:tr>
      <w:tr w:rsidR="008C66C1" w14:paraId="039B4F46" w14:textId="77777777" w:rsidTr="008C66C1">
        <w:tc>
          <w:tcPr>
            <w:tcW w:w="1129" w:type="dxa"/>
            <w:vAlign w:val="center"/>
          </w:tcPr>
          <w:p w14:paraId="6AA4F23C" w14:textId="3014B309" w:rsidR="008C66C1" w:rsidRDefault="008C66C1" w:rsidP="008C66C1">
            <w:r>
              <w:rPr>
                <w:rFonts w:ascii="PTSansRegular" w:hAnsi="PTSansRegular"/>
                <w:color w:val="231F20"/>
                <w:sz w:val="23"/>
                <w:szCs w:val="23"/>
              </w:rPr>
              <w:t>1</w:t>
            </w:r>
          </w:p>
        </w:tc>
        <w:tc>
          <w:tcPr>
            <w:tcW w:w="2911" w:type="dxa"/>
            <w:vAlign w:val="center"/>
          </w:tcPr>
          <w:p w14:paraId="54EDC4C8" w14:textId="25252C8C" w:rsidR="008C66C1" w:rsidRDefault="008C66C1" w:rsidP="008C66C1">
            <w:r>
              <w:rPr>
                <w:rFonts w:ascii="PTSansRegular" w:hAnsi="PTSansRegular"/>
                <w:color w:val="231F20"/>
                <w:sz w:val="23"/>
                <w:szCs w:val="23"/>
              </w:rPr>
              <w:t>Все комплаенс-риски</w:t>
            </w:r>
          </w:p>
        </w:tc>
        <w:tc>
          <w:tcPr>
            <w:tcW w:w="6157" w:type="dxa"/>
            <w:vAlign w:val="center"/>
          </w:tcPr>
          <w:p w14:paraId="40A31675" w14:textId="1E2ACD41" w:rsidR="008C66C1" w:rsidRDefault="008C66C1" w:rsidP="008C66C1">
            <w:r>
              <w:rPr>
                <w:rFonts w:ascii="PTSansRegular" w:hAnsi="PTSansRegular"/>
                <w:color w:val="231F20"/>
                <w:sz w:val="23"/>
                <w:szCs w:val="23"/>
              </w:rPr>
              <w:t>Ознакомление должностных лиц органа власти или органов местного самоуправления муниципального образования с правовыми актами, регулирующими организацию системы внутреннего соответствия положениям антимонопольного законодательства Российской Федерации (далее – антимонопольный комплаенс)</w:t>
            </w:r>
          </w:p>
        </w:tc>
        <w:tc>
          <w:tcPr>
            <w:tcW w:w="1452" w:type="dxa"/>
            <w:vAlign w:val="center"/>
          </w:tcPr>
          <w:p w14:paraId="4BA14C43" w14:textId="6B10FAA5" w:rsidR="008C66C1" w:rsidRDefault="008C66C1" w:rsidP="008C66C1">
            <w:r>
              <w:rPr>
                <w:rFonts w:ascii="PTSansRegular" w:hAnsi="PTSansRegular"/>
                <w:color w:val="231F20"/>
                <w:sz w:val="23"/>
                <w:szCs w:val="23"/>
              </w:rPr>
              <w:t>На постоянной основе</w:t>
            </w:r>
          </w:p>
        </w:tc>
        <w:tc>
          <w:tcPr>
            <w:tcW w:w="2911" w:type="dxa"/>
            <w:vAlign w:val="center"/>
          </w:tcPr>
          <w:p w14:paraId="05F7844E" w14:textId="056C8973" w:rsidR="008C66C1" w:rsidRDefault="008C66C1" w:rsidP="008C66C1">
            <w:r>
              <w:rPr>
                <w:rFonts w:ascii="PTSansRegular" w:hAnsi="PTSansRegular"/>
                <w:color w:val="231F20"/>
                <w:sz w:val="23"/>
                <w:szCs w:val="23"/>
              </w:rPr>
              <w:t xml:space="preserve">Сведение к минимуму рисков нарушения положений антимонопольного </w:t>
            </w:r>
            <w:proofErr w:type="spellStart"/>
            <w:r>
              <w:rPr>
                <w:rFonts w:ascii="PTSansRegular" w:hAnsi="PTSansRegular"/>
                <w:color w:val="231F20"/>
                <w:sz w:val="23"/>
                <w:szCs w:val="23"/>
              </w:rPr>
              <w:t>компаленса</w:t>
            </w:r>
            <w:proofErr w:type="spellEnd"/>
          </w:p>
        </w:tc>
      </w:tr>
      <w:tr w:rsidR="008C66C1" w14:paraId="7ADA5DC3" w14:textId="77777777" w:rsidTr="008C66C1">
        <w:tc>
          <w:tcPr>
            <w:tcW w:w="1129" w:type="dxa"/>
            <w:vAlign w:val="center"/>
          </w:tcPr>
          <w:p w14:paraId="0FE89A45" w14:textId="238053CE" w:rsidR="008C66C1" w:rsidRDefault="008C66C1" w:rsidP="008C66C1">
            <w:r>
              <w:rPr>
                <w:rFonts w:ascii="PTSansRegular" w:hAnsi="PTSansRegular"/>
                <w:color w:val="231F20"/>
                <w:sz w:val="23"/>
                <w:szCs w:val="23"/>
              </w:rPr>
              <w:t>2</w:t>
            </w:r>
          </w:p>
        </w:tc>
        <w:tc>
          <w:tcPr>
            <w:tcW w:w="2911" w:type="dxa"/>
            <w:vAlign w:val="center"/>
          </w:tcPr>
          <w:p w14:paraId="6972FCEA" w14:textId="0D1BBFD5" w:rsidR="008C66C1" w:rsidRDefault="008C66C1" w:rsidP="008C66C1">
            <w:r>
              <w:rPr>
                <w:rFonts w:ascii="PTSansRegular" w:hAnsi="PTSansRegular"/>
                <w:color w:val="231F20"/>
                <w:sz w:val="23"/>
                <w:szCs w:val="23"/>
              </w:rPr>
              <w:t>Все комплаенс-риски</w:t>
            </w:r>
          </w:p>
        </w:tc>
        <w:tc>
          <w:tcPr>
            <w:tcW w:w="6157" w:type="dxa"/>
            <w:vAlign w:val="center"/>
          </w:tcPr>
          <w:p w14:paraId="7B5D9185" w14:textId="7C9B187B" w:rsidR="008C66C1" w:rsidRDefault="008C66C1" w:rsidP="008C66C1">
            <w:r>
              <w:rPr>
                <w:rFonts w:ascii="PTSansRegular" w:hAnsi="PTSansRegular"/>
                <w:color w:val="231F20"/>
                <w:sz w:val="23"/>
                <w:szCs w:val="23"/>
              </w:rPr>
              <w:t>Организация обучения должностных лиц в целях повышения квалификации по вопросам применения антимонопольного законодательства</w:t>
            </w:r>
          </w:p>
        </w:tc>
        <w:tc>
          <w:tcPr>
            <w:tcW w:w="1452" w:type="dxa"/>
            <w:vAlign w:val="center"/>
          </w:tcPr>
          <w:p w14:paraId="4FA48677" w14:textId="6507192C" w:rsidR="008C66C1" w:rsidRDefault="008C66C1" w:rsidP="008C66C1">
            <w:r>
              <w:rPr>
                <w:rFonts w:ascii="PTSansRegular" w:hAnsi="PTSansRegular"/>
                <w:color w:val="231F20"/>
                <w:sz w:val="23"/>
                <w:szCs w:val="23"/>
              </w:rPr>
              <w:t>Ежегодно</w:t>
            </w:r>
          </w:p>
        </w:tc>
        <w:tc>
          <w:tcPr>
            <w:tcW w:w="2911" w:type="dxa"/>
            <w:vAlign w:val="center"/>
          </w:tcPr>
          <w:p w14:paraId="75C7537A" w14:textId="5C5D9BCD" w:rsidR="008C66C1" w:rsidRDefault="008C66C1" w:rsidP="008C66C1">
            <w:r>
              <w:rPr>
                <w:rFonts w:ascii="PTSansRegular" w:hAnsi="PTSansRegular"/>
                <w:color w:val="231F20"/>
                <w:sz w:val="23"/>
                <w:szCs w:val="23"/>
              </w:rPr>
              <w:t>Повышение квалификации должностных лиц по вопросам применения положений антимонопольного законодательства</w:t>
            </w:r>
          </w:p>
        </w:tc>
      </w:tr>
      <w:tr w:rsidR="008C66C1" w14:paraId="0F8FC9D7" w14:textId="77777777" w:rsidTr="008C66C1">
        <w:tc>
          <w:tcPr>
            <w:tcW w:w="1129" w:type="dxa"/>
            <w:vAlign w:val="center"/>
          </w:tcPr>
          <w:p w14:paraId="53D26A46" w14:textId="0E2EFA1E" w:rsidR="008C66C1" w:rsidRDefault="008C66C1" w:rsidP="008C66C1">
            <w:r>
              <w:rPr>
                <w:rFonts w:ascii="PTSansRegular" w:hAnsi="PTSansRegular"/>
                <w:color w:val="231F20"/>
                <w:sz w:val="23"/>
                <w:szCs w:val="23"/>
              </w:rPr>
              <w:t>3</w:t>
            </w:r>
          </w:p>
        </w:tc>
        <w:tc>
          <w:tcPr>
            <w:tcW w:w="2911" w:type="dxa"/>
            <w:vAlign w:val="center"/>
          </w:tcPr>
          <w:p w14:paraId="4A43F405" w14:textId="3B3E00EE" w:rsidR="008C66C1" w:rsidRDefault="008C66C1" w:rsidP="008C66C1">
            <w:r>
              <w:rPr>
                <w:rFonts w:ascii="PTSansRegular" w:hAnsi="PTSansRegular"/>
                <w:color w:val="231F20"/>
                <w:sz w:val="23"/>
                <w:szCs w:val="23"/>
              </w:rPr>
              <w:t>Все комплаенс-риски</w:t>
            </w:r>
          </w:p>
        </w:tc>
        <w:tc>
          <w:tcPr>
            <w:tcW w:w="6157" w:type="dxa"/>
            <w:vAlign w:val="center"/>
          </w:tcPr>
          <w:p w14:paraId="2BF52F92" w14:textId="54B66E7F" w:rsidR="008C66C1" w:rsidRDefault="008C66C1" w:rsidP="008C66C1">
            <w:r>
              <w:rPr>
                <w:rFonts w:ascii="PTSansRegular" w:hAnsi="PTSansRegular"/>
                <w:color w:val="231F20"/>
                <w:sz w:val="23"/>
                <w:szCs w:val="23"/>
              </w:rPr>
              <w:t>Анализ выявленных нарушений антимонопольного законодательства в деятельности органа власти или органов местного самоуправления муниципального образования за предыдущие 3 года (наличие предостережений, предупреждений, штрафов, жалоб, возбужденных дел)</w:t>
            </w:r>
          </w:p>
        </w:tc>
        <w:tc>
          <w:tcPr>
            <w:tcW w:w="1452" w:type="dxa"/>
            <w:vAlign w:val="center"/>
          </w:tcPr>
          <w:p w14:paraId="782EC003" w14:textId="75B9D546" w:rsidR="008C66C1" w:rsidRDefault="008C66C1" w:rsidP="008C66C1">
            <w:r>
              <w:rPr>
                <w:rFonts w:ascii="PTSansRegular" w:hAnsi="PTSansRegular"/>
                <w:color w:val="231F20"/>
                <w:sz w:val="23"/>
                <w:szCs w:val="23"/>
              </w:rPr>
              <w:t>Ежегодно</w:t>
            </w:r>
          </w:p>
        </w:tc>
        <w:tc>
          <w:tcPr>
            <w:tcW w:w="2911" w:type="dxa"/>
            <w:vAlign w:val="center"/>
          </w:tcPr>
          <w:p w14:paraId="34893A56" w14:textId="7537E825" w:rsidR="008C66C1" w:rsidRDefault="008C66C1" w:rsidP="008C66C1">
            <w:r>
              <w:rPr>
                <w:rFonts w:ascii="PTSansRegular" w:hAnsi="PTSansRegular"/>
                <w:color w:val="231F20"/>
                <w:sz w:val="23"/>
                <w:szCs w:val="23"/>
              </w:rPr>
              <w:t>Формирование (актуализация) карты комплаенс-рисков</w:t>
            </w:r>
          </w:p>
        </w:tc>
      </w:tr>
      <w:tr w:rsidR="008C66C1" w14:paraId="597269C8" w14:textId="77777777" w:rsidTr="008C66C1">
        <w:tc>
          <w:tcPr>
            <w:tcW w:w="1129" w:type="dxa"/>
            <w:vAlign w:val="center"/>
          </w:tcPr>
          <w:p w14:paraId="68E5FC65" w14:textId="7CD1CE3F" w:rsidR="008C66C1" w:rsidRDefault="008C66C1" w:rsidP="008C66C1">
            <w:r>
              <w:rPr>
                <w:rFonts w:ascii="PTSansRegular" w:hAnsi="PTSansRegular"/>
                <w:color w:val="231F20"/>
                <w:sz w:val="23"/>
                <w:szCs w:val="23"/>
              </w:rPr>
              <w:t>4</w:t>
            </w:r>
          </w:p>
        </w:tc>
        <w:tc>
          <w:tcPr>
            <w:tcW w:w="2911" w:type="dxa"/>
            <w:vAlign w:val="center"/>
          </w:tcPr>
          <w:p w14:paraId="5A108FA6" w14:textId="17E23C01" w:rsidR="008C66C1" w:rsidRDefault="008C66C1" w:rsidP="008C66C1">
            <w:r>
              <w:rPr>
                <w:rFonts w:ascii="PTSansRegular" w:hAnsi="PTSansRegular"/>
                <w:color w:val="231F20"/>
                <w:sz w:val="23"/>
                <w:szCs w:val="23"/>
              </w:rPr>
              <w:t>Все комплаенс-риски</w:t>
            </w:r>
          </w:p>
        </w:tc>
        <w:tc>
          <w:tcPr>
            <w:tcW w:w="6157" w:type="dxa"/>
            <w:vAlign w:val="center"/>
          </w:tcPr>
          <w:p w14:paraId="4863AECB" w14:textId="5D24A23E" w:rsidR="008C66C1" w:rsidRDefault="008C66C1" w:rsidP="008C66C1">
            <w:r>
              <w:rPr>
                <w:rFonts w:ascii="PTSansRegular" w:hAnsi="PTSansRegular"/>
                <w:color w:val="231F20"/>
                <w:sz w:val="23"/>
                <w:szCs w:val="23"/>
              </w:rPr>
              <w:t>Сбор сведений о правоприменительной практике антимонопольного законодательства</w:t>
            </w:r>
          </w:p>
        </w:tc>
        <w:tc>
          <w:tcPr>
            <w:tcW w:w="1452" w:type="dxa"/>
            <w:vAlign w:val="center"/>
          </w:tcPr>
          <w:p w14:paraId="33357345" w14:textId="617100FC" w:rsidR="008C66C1" w:rsidRDefault="008C66C1" w:rsidP="008C66C1">
            <w:r>
              <w:rPr>
                <w:rFonts w:ascii="PTSansRegular" w:hAnsi="PTSansRegular"/>
                <w:color w:val="231F20"/>
                <w:sz w:val="23"/>
                <w:szCs w:val="23"/>
              </w:rPr>
              <w:t>На постоянной основе</w:t>
            </w:r>
          </w:p>
        </w:tc>
        <w:tc>
          <w:tcPr>
            <w:tcW w:w="2911" w:type="dxa"/>
            <w:vAlign w:val="center"/>
          </w:tcPr>
          <w:p w14:paraId="2493E985" w14:textId="473FA2EE" w:rsidR="008C66C1" w:rsidRDefault="008C66C1" w:rsidP="008C66C1">
            <w:r>
              <w:rPr>
                <w:rFonts w:ascii="PTSansRegular" w:hAnsi="PTSansRegular"/>
                <w:color w:val="231F20"/>
                <w:sz w:val="23"/>
                <w:szCs w:val="23"/>
              </w:rPr>
              <w:t>Подготовка аналитической справки об изменениях и основных аспектах правоприменительной практики антимонопольного законодательства</w:t>
            </w:r>
          </w:p>
        </w:tc>
      </w:tr>
      <w:tr w:rsidR="009B499F" w14:paraId="22B7E186" w14:textId="77777777" w:rsidTr="009D44B9">
        <w:tc>
          <w:tcPr>
            <w:tcW w:w="1129" w:type="dxa"/>
            <w:vAlign w:val="center"/>
          </w:tcPr>
          <w:p w14:paraId="44EE0297" w14:textId="2EC903B6" w:rsidR="009B499F" w:rsidRDefault="009B499F" w:rsidP="009B499F">
            <w:r>
              <w:rPr>
                <w:rFonts w:ascii="PTSansRegular" w:hAnsi="PTSansRegular"/>
                <w:color w:val="231F20"/>
                <w:sz w:val="23"/>
                <w:szCs w:val="23"/>
              </w:rPr>
              <w:lastRenderedPageBreak/>
              <w:t>5</w:t>
            </w:r>
          </w:p>
        </w:tc>
        <w:tc>
          <w:tcPr>
            <w:tcW w:w="2911" w:type="dxa"/>
            <w:vAlign w:val="center"/>
          </w:tcPr>
          <w:p w14:paraId="79E62B7A" w14:textId="70A0189C" w:rsidR="009B499F" w:rsidRDefault="009B499F" w:rsidP="009B499F">
            <w:r>
              <w:rPr>
                <w:rFonts w:ascii="PTSansRegular" w:hAnsi="PTSansRegular"/>
                <w:color w:val="231F20"/>
                <w:sz w:val="23"/>
                <w:szCs w:val="23"/>
              </w:rPr>
              <w:t>Все комплаенс-риски</w:t>
            </w:r>
          </w:p>
        </w:tc>
        <w:tc>
          <w:tcPr>
            <w:tcW w:w="6157" w:type="dxa"/>
            <w:vAlign w:val="center"/>
          </w:tcPr>
          <w:p w14:paraId="0E1ED23F" w14:textId="48DCFB0D" w:rsidR="009B499F" w:rsidRDefault="009B499F" w:rsidP="009B499F">
            <w:r>
              <w:rPr>
                <w:rFonts w:ascii="PTSansRegular" w:hAnsi="PTSansRegular"/>
                <w:color w:val="231F20"/>
                <w:sz w:val="23"/>
                <w:szCs w:val="23"/>
              </w:rPr>
              <w:t>Консультирование сотрудников по вопросам, связанным с внедрением и соблюдением антимонопольного комплаенса</w:t>
            </w:r>
          </w:p>
        </w:tc>
        <w:tc>
          <w:tcPr>
            <w:tcW w:w="1452" w:type="dxa"/>
            <w:vAlign w:val="center"/>
          </w:tcPr>
          <w:p w14:paraId="4F747628" w14:textId="60980E98" w:rsidR="009B499F" w:rsidRDefault="009B499F" w:rsidP="009B499F">
            <w:r>
              <w:rPr>
                <w:rFonts w:ascii="PTSansRegular" w:hAnsi="PTSansRegular"/>
                <w:color w:val="231F20"/>
                <w:sz w:val="23"/>
                <w:szCs w:val="23"/>
              </w:rPr>
              <w:t>На постоянной основе</w:t>
            </w:r>
          </w:p>
        </w:tc>
        <w:tc>
          <w:tcPr>
            <w:tcW w:w="2911" w:type="dxa"/>
            <w:vAlign w:val="center"/>
          </w:tcPr>
          <w:p w14:paraId="41E5AA02" w14:textId="4474B423" w:rsidR="009B499F" w:rsidRDefault="009B499F" w:rsidP="009B499F">
            <w:r>
              <w:rPr>
                <w:rFonts w:ascii="PTSansRegular" w:hAnsi="PTSansRegular"/>
                <w:color w:val="231F20"/>
                <w:sz w:val="23"/>
                <w:szCs w:val="23"/>
              </w:rPr>
              <w:t>Консультирование сотрудников по вопросам, связанным с внедрением антимонопольного комплаенса</w:t>
            </w:r>
          </w:p>
        </w:tc>
      </w:tr>
      <w:tr w:rsidR="009B499F" w14:paraId="70C010EC" w14:textId="77777777" w:rsidTr="009D44B9">
        <w:tc>
          <w:tcPr>
            <w:tcW w:w="1129" w:type="dxa"/>
            <w:vAlign w:val="center"/>
          </w:tcPr>
          <w:p w14:paraId="75C936B1" w14:textId="4C2F712A" w:rsidR="009B499F" w:rsidRDefault="009B499F" w:rsidP="009B499F">
            <w:r>
              <w:rPr>
                <w:rFonts w:ascii="PTSansRegular" w:hAnsi="PTSansRegular"/>
                <w:color w:val="231F20"/>
                <w:sz w:val="23"/>
                <w:szCs w:val="23"/>
              </w:rPr>
              <w:t>6</w:t>
            </w:r>
          </w:p>
        </w:tc>
        <w:tc>
          <w:tcPr>
            <w:tcW w:w="2911" w:type="dxa"/>
            <w:vAlign w:val="center"/>
          </w:tcPr>
          <w:p w14:paraId="43440C14" w14:textId="531538EA" w:rsidR="009B499F" w:rsidRDefault="009B499F" w:rsidP="009B499F">
            <w:r>
              <w:rPr>
                <w:rFonts w:ascii="PTSansRegular" w:hAnsi="PTSansRegular"/>
                <w:color w:val="231F20"/>
                <w:sz w:val="23"/>
                <w:szCs w:val="23"/>
              </w:rPr>
              <w:t>Все комплаенс-риски</w:t>
            </w:r>
          </w:p>
        </w:tc>
        <w:tc>
          <w:tcPr>
            <w:tcW w:w="6157" w:type="dxa"/>
            <w:vAlign w:val="center"/>
          </w:tcPr>
          <w:p w14:paraId="249024C6" w14:textId="70354EFC" w:rsidR="009B499F" w:rsidRDefault="009B499F" w:rsidP="009B499F">
            <w:r>
              <w:rPr>
                <w:rFonts w:ascii="PTSansRegular" w:hAnsi="PTSansRegular"/>
                <w:color w:val="231F20"/>
                <w:sz w:val="23"/>
                <w:szCs w:val="23"/>
              </w:rPr>
              <w:t>Ознакомление гражданина Российской Федерации при поступлении на государственную гражданскую или муниципальную службу с положениями антимонопольного комплаенса</w:t>
            </w:r>
          </w:p>
        </w:tc>
        <w:tc>
          <w:tcPr>
            <w:tcW w:w="1452" w:type="dxa"/>
            <w:vAlign w:val="center"/>
          </w:tcPr>
          <w:p w14:paraId="48DF7AAC" w14:textId="4823FB8E" w:rsidR="009B499F" w:rsidRDefault="009B499F" w:rsidP="009B499F">
            <w:r>
              <w:rPr>
                <w:rFonts w:ascii="PTSansRegular" w:hAnsi="PTSansRegular"/>
                <w:color w:val="231F20"/>
                <w:sz w:val="23"/>
                <w:szCs w:val="23"/>
              </w:rPr>
              <w:t>На постоянной основе</w:t>
            </w:r>
          </w:p>
        </w:tc>
        <w:tc>
          <w:tcPr>
            <w:tcW w:w="2911" w:type="dxa"/>
            <w:vAlign w:val="center"/>
          </w:tcPr>
          <w:p w14:paraId="407201E9" w14:textId="2776408B" w:rsidR="009B499F" w:rsidRDefault="009B499F" w:rsidP="009B499F">
            <w:r>
              <w:rPr>
                <w:rFonts w:ascii="PTSansRegular" w:hAnsi="PTSansRegular"/>
                <w:color w:val="231F20"/>
                <w:sz w:val="23"/>
                <w:szCs w:val="23"/>
              </w:rPr>
              <w:t>Ознакомление лиц, претендующих на замещение должности государственного гражданского или муниципального служащего, с нормативными правовыми актами, регламентирующими систему антимонопольного комплаенса</w:t>
            </w:r>
          </w:p>
        </w:tc>
      </w:tr>
      <w:tr w:rsidR="009B499F" w14:paraId="4FD3260E" w14:textId="77777777" w:rsidTr="00DF62E0">
        <w:tc>
          <w:tcPr>
            <w:tcW w:w="1129" w:type="dxa"/>
            <w:shd w:val="clear" w:color="auto" w:fill="auto"/>
          </w:tcPr>
          <w:p w14:paraId="5936E2C3" w14:textId="77777777" w:rsidR="00DF62E0" w:rsidRDefault="00DF62E0" w:rsidP="009B499F">
            <w:pPr>
              <w:rPr>
                <w:rFonts w:ascii="PTSansRegular" w:hAnsi="PTSansRegular"/>
                <w:color w:val="231F20"/>
                <w:sz w:val="23"/>
                <w:szCs w:val="23"/>
                <w:shd w:val="clear" w:color="auto" w:fill="D4E5EC"/>
              </w:rPr>
            </w:pPr>
          </w:p>
          <w:p w14:paraId="690F69BB" w14:textId="77777777" w:rsidR="00DF62E0" w:rsidRDefault="00DF62E0" w:rsidP="009B499F">
            <w:pPr>
              <w:rPr>
                <w:rFonts w:ascii="PTSansRegular" w:hAnsi="PTSansRegular"/>
                <w:color w:val="231F20"/>
                <w:sz w:val="23"/>
                <w:szCs w:val="23"/>
                <w:shd w:val="clear" w:color="auto" w:fill="D4E5EC"/>
              </w:rPr>
            </w:pPr>
          </w:p>
          <w:p w14:paraId="431A1F4B" w14:textId="77777777" w:rsidR="00DF62E0" w:rsidRDefault="00DF62E0" w:rsidP="009B499F">
            <w:pPr>
              <w:rPr>
                <w:rFonts w:ascii="PTSansRegular" w:hAnsi="PTSansRegular"/>
                <w:color w:val="231F20"/>
                <w:sz w:val="23"/>
                <w:szCs w:val="23"/>
                <w:shd w:val="clear" w:color="auto" w:fill="D4E5EC"/>
              </w:rPr>
            </w:pPr>
          </w:p>
          <w:p w14:paraId="20C7E258" w14:textId="77777777" w:rsidR="00DF62E0" w:rsidRDefault="00DF62E0" w:rsidP="009B499F">
            <w:pPr>
              <w:rPr>
                <w:rFonts w:ascii="PTSansRegular" w:hAnsi="PTSansRegular"/>
                <w:color w:val="231F20"/>
                <w:sz w:val="23"/>
                <w:szCs w:val="23"/>
                <w:shd w:val="clear" w:color="auto" w:fill="D4E5EC"/>
              </w:rPr>
            </w:pPr>
          </w:p>
          <w:p w14:paraId="68EB427E" w14:textId="2F4320E3" w:rsidR="009B499F" w:rsidRDefault="00DF62E0" w:rsidP="009B499F">
            <w:r w:rsidRPr="00DF62E0">
              <w:rPr>
                <w:rFonts w:ascii="PTSansRegular" w:hAnsi="PTSansRegular"/>
                <w:color w:val="231F20"/>
                <w:sz w:val="23"/>
                <w:szCs w:val="23"/>
              </w:rPr>
              <w:t>7</w:t>
            </w:r>
          </w:p>
        </w:tc>
        <w:tc>
          <w:tcPr>
            <w:tcW w:w="2911" w:type="dxa"/>
            <w:vAlign w:val="center"/>
          </w:tcPr>
          <w:p w14:paraId="730DFF9D" w14:textId="77777777" w:rsidR="009B499F" w:rsidRDefault="009B499F" w:rsidP="009B499F">
            <w:pPr>
              <w:rPr>
                <w:rFonts w:ascii="PTSansRegular" w:hAnsi="PTSansRegular"/>
                <w:color w:val="231F20"/>
                <w:sz w:val="23"/>
                <w:szCs w:val="23"/>
              </w:rPr>
            </w:pPr>
            <w:r>
              <w:rPr>
                <w:rFonts w:ascii="PTSansRegular" w:hAnsi="PTSansRegular"/>
                <w:color w:val="231F20"/>
                <w:sz w:val="23"/>
                <w:szCs w:val="23"/>
              </w:rPr>
              <w:t>Осуществление закупок товаров, работ, услуг;</w:t>
            </w:r>
          </w:p>
          <w:p w14:paraId="4C88FBCE" w14:textId="77777777" w:rsidR="009B499F" w:rsidRDefault="009B499F" w:rsidP="009B499F">
            <w:pPr>
              <w:rPr>
                <w:rFonts w:ascii="PTSansRegular" w:hAnsi="PTSansRegular"/>
                <w:color w:val="231F20"/>
                <w:sz w:val="23"/>
                <w:szCs w:val="23"/>
              </w:rPr>
            </w:pPr>
          </w:p>
          <w:p w14:paraId="09003CAA" w14:textId="77777777" w:rsidR="009B499F" w:rsidRDefault="009B499F" w:rsidP="009B499F">
            <w:pPr>
              <w:rPr>
                <w:rFonts w:ascii="PTSansRegular" w:hAnsi="PTSansRegular"/>
                <w:color w:val="231F20"/>
                <w:sz w:val="23"/>
                <w:szCs w:val="23"/>
                <w:shd w:val="clear" w:color="auto" w:fill="FFFFFF"/>
              </w:rPr>
            </w:pPr>
            <w:r>
              <w:rPr>
                <w:rFonts w:ascii="PTSansRegular" w:hAnsi="PTSansRegular"/>
                <w:color w:val="231F20"/>
                <w:sz w:val="23"/>
                <w:szCs w:val="23"/>
                <w:shd w:val="clear" w:color="auto" w:fill="FFFFFF"/>
              </w:rPr>
              <w:t>Предоставление в пользование государственного имущества, включая земельные участки;</w:t>
            </w:r>
          </w:p>
          <w:p w14:paraId="23E6A6EE" w14:textId="77777777" w:rsidR="009B499F" w:rsidRDefault="009B499F" w:rsidP="009B499F">
            <w:pPr>
              <w:rPr>
                <w:rFonts w:ascii="PTSansRegular" w:hAnsi="PTSansRegular"/>
                <w:color w:val="231F20"/>
                <w:sz w:val="23"/>
                <w:szCs w:val="23"/>
                <w:shd w:val="clear" w:color="auto" w:fill="FFFFFF"/>
              </w:rPr>
            </w:pPr>
          </w:p>
          <w:p w14:paraId="2462D41C" w14:textId="02EC1501" w:rsidR="009B499F" w:rsidRDefault="009B499F" w:rsidP="009B499F">
            <w:r w:rsidRPr="009B499F">
              <w:rPr>
                <w:rFonts w:ascii="PTSansRegular" w:hAnsi="PTSansRegular"/>
                <w:color w:val="231F20"/>
                <w:sz w:val="23"/>
                <w:szCs w:val="23"/>
              </w:rPr>
              <w:t>Проведение обязательных торгов</w:t>
            </w:r>
          </w:p>
        </w:tc>
        <w:tc>
          <w:tcPr>
            <w:tcW w:w="6157" w:type="dxa"/>
            <w:vAlign w:val="center"/>
          </w:tcPr>
          <w:p w14:paraId="7E700511" w14:textId="16179F65" w:rsidR="009B499F" w:rsidRDefault="009B499F" w:rsidP="009B499F">
            <w:r>
              <w:rPr>
                <w:rFonts w:ascii="PTSansRegular" w:hAnsi="PTSansRegular"/>
                <w:color w:val="231F20"/>
                <w:sz w:val="23"/>
                <w:szCs w:val="23"/>
              </w:rPr>
              <w:t>Анализ практики применения действующих нормативных правовых актов, определяющих порядок и условия выполнения органом власти или органами местного самоуправления муниципального образования функций государственного (муниципального) заказчика по размещению государственного (муниципального) заказа на поставку товаров (выполнение работ, оказание услуг), повышение профессиональной подготовки работников, обучение сотрудников, контроль процесса подготовки закупочной документации.</w:t>
            </w:r>
          </w:p>
        </w:tc>
        <w:tc>
          <w:tcPr>
            <w:tcW w:w="1452" w:type="dxa"/>
            <w:vAlign w:val="center"/>
          </w:tcPr>
          <w:p w14:paraId="2A7F67A5" w14:textId="234A987F" w:rsidR="009B499F" w:rsidRDefault="009B499F" w:rsidP="009B499F">
            <w:r>
              <w:rPr>
                <w:rFonts w:ascii="PTSansRegular" w:hAnsi="PTSansRegular"/>
                <w:color w:val="231F20"/>
                <w:sz w:val="23"/>
                <w:szCs w:val="23"/>
              </w:rPr>
              <w:t>На постоянной основе</w:t>
            </w:r>
          </w:p>
        </w:tc>
        <w:tc>
          <w:tcPr>
            <w:tcW w:w="2911" w:type="dxa"/>
            <w:vAlign w:val="center"/>
          </w:tcPr>
          <w:p w14:paraId="74B7F231" w14:textId="7FC8F974" w:rsidR="009B499F" w:rsidRDefault="009B499F" w:rsidP="009B499F">
            <w:r>
              <w:rPr>
                <w:rFonts w:ascii="PTSansRegular" w:hAnsi="PTSansRegular"/>
                <w:color w:val="231F20"/>
                <w:sz w:val="23"/>
                <w:szCs w:val="23"/>
              </w:rPr>
              <w:t>Исключение наличия комплаенс-рисков при осуществлении закупок товаров (выполнение работ, оказание услуг)</w:t>
            </w:r>
          </w:p>
        </w:tc>
      </w:tr>
      <w:tr w:rsidR="006C4AF0" w14:paraId="7AF6102B" w14:textId="77777777" w:rsidTr="00DC4E41">
        <w:tc>
          <w:tcPr>
            <w:tcW w:w="1129" w:type="dxa"/>
            <w:vAlign w:val="center"/>
          </w:tcPr>
          <w:p w14:paraId="6312123C" w14:textId="58F6E764" w:rsidR="006C4AF0" w:rsidRDefault="006C4AF0" w:rsidP="006C4AF0">
            <w:r>
              <w:rPr>
                <w:rFonts w:ascii="PTSansRegular" w:hAnsi="PTSansRegular"/>
                <w:color w:val="231F20"/>
                <w:sz w:val="23"/>
                <w:szCs w:val="23"/>
              </w:rPr>
              <w:t>8</w:t>
            </w:r>
          </w:p>
        </w:tc>
        <w:tc>
          <w:tcPr>
            <w:tcW w:w="2911" w:type="dxa"/>
            <w:vAlign w:val="center"/>
          </w:tcPr>
          <w:p w14:paraId="47526C47" w14:textId="1317B9C1" w:rsidR="006C4AF0" w:rsidRDefault="006C4AF0" w:rsidP="006C4AF0">
            <w:r>
              <w:rPr>
                <w:rFonts w:ascii="PTSansRegular" w:hAnsi="PTSansRegular"/>
                <w:color w:val="231F20"/>
                <w:sz w:val="23"/>
                <w:szCs w:val="23"/>
              </w:rPr>
              <w:t>Предоставление преференций</w:t>
            </w:r>
          </w:p>
        </w:tc>
        <w:tc>
          <w:tcPr>
            <w:tcW w:w="6157" w:type="dxa"/>
            <w:vAlign w:val="center"/>
          </w:tcPr>
          <w:p w14:paraId="4010A986" w14:textId="103DCD19" w:rsidR="006C4AF0" w:rsidRDefault="006C4AF0" w:rsidP="006C4AF0">
            <w:r>
              <w:rPr>
                <w:rFonts w:ascii="PTSansRegular" w:hAnsi="PTSansRegular"/>
                <w:color w:val="231F20"/>
                <w:sz w:val="23"/>
                <w:szCs w:val="23"/>
              </w:rPr>
              <w:t xml:space="preserve">Повышение профессиональной подготовки работников, обучение сотрудников; повышение эффективности процесса управления; проведение мероприятий по </w:t>
            </w:r>
            <w:proofErr w:type="spellStart"/>
            <w:r>
              <w:rPr>
                <w:rFonts w:ascii="PTSansRegular" w:hAnsi="PTSansRegular"/>
                <w:color w:val="231F20"/>
                <w:sz w:val="23"/>
                <w:szCs w:val="23"/>
              </w:rPr>
              <w:t>предоствращению</w:t>
            </w:r>
            <w:proofErr w:type="spellEnd"/>
            <w:r>
              <w:rPr>
                <w:rFonts w:ascii="PTSansRegular" w:hAnsi="PTSansRegular"/>
                <w:color w:val="231F20"/>
                <w:sz w:val="23"/>
                <w:szCs w:val="23"/>
              </w:rPr>
              <w:t xml:space="preserve"> конфликта </w:t>
            </w:r>
            <w:r>
              <w:rPr>
                <w:rFonts w:ascii="PTSansRegular" w:hAnsi="PTSansRegular"/>
                <w:color w:val="231F20"/>
                <w:sz w:val="23"/>
                <w:szCs w:val="23"/>
              </w:rPr>
              <w:lastRenderedPageBreak/>
              <w:t>интересов у работника (не включение сотрудника в состав комиссии и т.п.).</w:t>
            </w:r>
          </w:p>
        </w:tc>
        <w:tc>
          <w:tcPr>
            <w:tcW w:w="1452" w:type="dxa"/>
            <w:vAlign w:val="center"/>
          </w:tcPr>
          <w:p w14:paraId="5A444954" w14:textId="2DF20376" w:rsidR="006C4AF0" w:rsidRDefault="006C4AF0" w:rsidP="006C4AF0">
            <w:r>
              <w:rPr>
                <w:rFonts w:ascii="PTSansRegular" w:hAnsi="PTSansRegular"/>
                <w:color w:val="231F20"/>
                <w:sz w:val="23"/>
                <w:szCs w:val="23"/>
              </w:rPr>
              <w:lastRenderedPageBreak/>
              <w:t>На постоянной основе</w:t>
            </w:r>
          </w:p>
        </w:tc>
        <w:tc>
          <w:tcPr>
            <w:tcW w:w="2911" w:type="dxa"/>
            <w:vAlign w:val="center"/>
          </w:tcPr>
          <w:p w14:paraId="08BDF895" w14:textId="387B955E" w:rsidR="006C4AF0" w:rsidRDefault="006C4AF0" w:rsidP="006C4AF0">
            <w:r>
              <w:rPr>
                <w:rFonts w:ascii="PTSansRegular" w:hAnsi="PTSansRegular"/>
                <w:color w:val="231F20"/>
                <w:sz w:val="23"/>
                <w:szCs w:val="23"/>
              </w:rPr>
              <w:t xml:space="preserve">Исключение </w:t>
            </w:r>
            <w:proofErr w:type="spellStart"/>
            <w:r>
              <w:rPr>
                <w:rFonts w:ascii="PTSansRegular" w:hAnsi="PTSansRegular"/>
                <w:color w:val="231F20"/>
                <w:sz w:val="23"/>
                <w:szCs w:val="23"/>
              </w:rPr>
              <w:t>антиконкурентных</w:t>
            </w:r>
            <w:proofErr w:type="spellEnd"/>
            <w:r>
              <w:rPr>
                <w:rFonts w:ascii="PTSansRegular" w:hAnsi="PTSansRegular"/>
                <w:color w:val="231F20"/>
                <w:sz w:val="23"/>
                <w:szCs w:val="23"/>
              </w:rPr>
              <w:t xml:space="preserve"> действий со стороны органов власти и органов местного </w:t>
            </w:r>
            <w:r>
              <w:rPr>
                <w:rFonts w:ascii="PTSansRegular" w:hAnsi="PTSansRegular"/>
                <w:color w:val="231F20"/>
                <w:sz w:val="23"/>
                <w:szCs w:val="23"/>
              </w:rPr>
              <w:lastRenderedPageBreak/>
              <w:t>самоуправления муниципальных образований</w:t>
            </w:r>
          </w:p>
        </w:tc>
      </w:tr>
      <w:tr w:rsidR="006C4AF0" w14:paraId="507C19E5" w14:textId="77777777" w:rsidTr="006B11E4">
        <w:tc>
          <w:tcPr>
            <w:tcW w:w="1129" w:type="dxa"/>
            <w:vAlign w:val="center"/>
          </w:tcPr>
          <w:p w14:paraId="783CE6F9" w14:textId="4B1A6252" w:rsidR="006C4AF0" w:rsidRDefault="006C4AF0" w:rsidP="006C4AF0">
            <w:r>
              <w:rPr>
                <w:rFonts w:ascii="PTSansRegular" w:hAnsi="PTSansRegular"/>
                <w:color w:val="231F20"/>
                <w:sz w:val="23"/>
                <w:szCs w:val="23"/>
              </w:rPr>
              <w:lastRenderedPageBreak/>
              <w:t>9</w:t>
            </w:r>
          </w:p>
        </w:tc>
        <w:tc>
          <w:tcPr>
            <w:tcW w:w="2911" w:type="dxa"/>
            <w:vAlign w:val="center"/>
          </w:tcPr>
          <w:p w14:paraId="368FD8F7" w14:textId="77777777" w:rsidR="006C4AF0" w:rsidRDefault="006C4AF0" w:rsidP="006C4AF0">
            <w:pPr>
              <w:rPr>
                <w:rFonts w:ascii="PTSansRegular" w:hAnsi="PTSansRegular"/>
                <w:color w:val="231F20"/>
                <w:sz w:val="23"/>
                <w:szCs w:val="23"/>
              </w:rPr>
            </w:pPr>
            <w:r>
              <w:rPr>
                <w:rFonts w:ascii="PTSansRegular" w:hAnsi="PTSansRegular"/>
                <w:color w:val="231F20"/>
                <w:sz w:val="23"/>
                <w:szCs w:val="23"/>
              </w:rPr>
              <w:t>Обеспечение работы совещательных органов, комиссий, принимающих решения (рекомендации) о предоставлении государственной поддержки;</w:t>
            </w:r>
          </w:p>
          <w:p w14:paraId="141D77B9" w14:textId="77777777" w:rsidR="006C4AF0" w:rsidRDefault="006C4AF0" w:rsidP="006C4AF0"/>
          <w:p w14:paraId="5375E7A6" w14:textId="53384FEA" w:rsidR="006C4AF0" w:rsidRDefault="006C4AF0" w:rsidP="006C4AF0">
            <w:r>
              <w:rPr>
                <w:rFonts w:ascii="PTSansRegular" w:hAnsi="PTSansRegular"/>
                <w:color w:val="231F20"/>
                <w:sz w:val="23"/>
                <w:szCs w:val="23"/>
                <w:shd w:val="clear" w:color="auto" w:fill="FFFFFF"/>
              </w:rPr>
              <w:t>Проведение конкурсов на получение грантов, субсидий</w:t>
            </w:r>
          </w:p>
        </w:tc>
        <w:tc>
          <w:tcPr>
            <w:tcW w:w="6157" w:type="dxa"/>
            <w:vAlign w:val="center"/>
          </w:tcPr>
          <w:p w14:paraId="6D44BB9F" w14:textId="148FD5A9" w:rsidR="006C4AF0" w:rsidRDefault="006C4AF0" w:rsidP="006C4AF0">
            <w:r>
              <w:rPr>
                <w:rFonts w:ascii="PTSansRegular" w:hAnsi="PTSansRegular"/>
                <w:color w:val="231F20"/>
                <w:sz w:val="23"/>
                <w:szCs w:val="23"/>
              </w:rPr>
              <w:t>Повышение профессиональной подготовки работников, обучение сотрудников, контроль процесса подготовки закупочной документации, повышение эффективности процесса управления, проведение мероприятий по предотвращению конфликта интересов (не включение работника в состав комиссии и т.п.).</w:t>
            </w:r>
          </w:p>
        </w:tc>
        <w:tc>
          <w:tcPr>
            <w:tcW w:w="1452" w:type="dxa"/>
            <w:vAlign w:val="center"/>
          </w:tcPr>
          <w:p w14:paraId="00DEA752" w14:textId="6D04840A" w:rsidR="006C4AF0" w:rsidRDefault="006C4AF0" w:rsidP="006C4AF0">
            <w:r>
              <w:rPr>
                <w:rFonts w:ascii="PTSansRegular" w:hAnsi="PTSansRegular"/>
                <w:color w:val="231F20"/>
                <w:sz w:val="23"/>
                <w:szCs w:val="23"/>
              </w:rPr>
              <w:t>На постоянной основе</w:t>
            </w:r>
          </w:p>
        </w:tc>
        <w:tc>
          <w:tcPr>
            <w:tcW w:w="2911" w:type="dxa"/>
            <w:vAlign w:val="center"/>
          </w:tcPr>
          <w:p w14:paraId="78C59F45" w14:textId="614A770E" w:rsidR="006C4AF0" w:rsidRDefault="006C4AF0" w:rsidP="006C4AF0">
            <w:r>
              <w:rPr>
                <w:rFonts w:ascii="PTSansRegular" w:hAnsi="PTSansRegular"/>
                <w:color w:val="231F20"/>
                <w:sz w:val="23"/>
                <w:szCs w:val="23"/>
              </w:rPr>
              <w:t xml:space="preserve">Исключение </w:t>
            </w:r>
            <w:proofErr w:type="spellStart"/>
            <w:r>
              <w:rPr>
                <w:rFonts w:ascii="PTSansRegular" w:hAnsi="PTSansRegular"/>
                <w:color w:val="231F20"/>
                <w:sz w:val="23"/>
                <w:szCs w:val="23"/>
              </w:rPr>
              <w:t>антиконкурентных</w:t>
            </w:r>
            <w:proofErr w:type="spellEnd"/>
            <w:r>
              <w:rPr>
                <w:rFonts w:ascii="PTSansRegular" w:hAnsi="PTSansRegular"/>
                <w:color w:val="231F20"/>
                <w:sz w:val="23"/>
                <w:szCs w:val="23"/>
              </w:rPr>
              <w:t xml:space="preserve"> действий со стороны органов власти и органов местного самоуправления муниципальных образований при проведении конкурсов на получение грантов, субсидий</w:t>
            </w:r>
          </w:p>
        </w:tc>
      </w:tr>
      <w:tr w:rsidR="00E01C14" w14:paraId="138591B3" w14:textId="77777777" w:rsidTr="0042257D">
        <w:tc>
          <w:tcPr>
            <w:tcW w:w="1129" w:type="dxa"/>
            <w:vAlign w:val="center"/>
          </w:tcPr>
          <w:p w14:paraId="43FA46ED" w14:textId="538AA014" w:rsidR="00E01C14" w:rsidRDefault="00E01C14" w:rsidP="00E01C14">
            <w:r>
              <w:rPr>
                <w:rFonts w:ascii="PTSansRegular" w:hAnsi="PTSansRegular"/>
                <w:color w:val="231F20"/>
                <w:sz w:val="23"/>
                <w:szCs w:val="23"/>
              </w:rPr>
              <w:t>10</w:t>
            </w:r>
          </w:p>
        </w:tc>
        <w:tc>
          <w:tcPr>
            <w:tcW w:w="2911" w:type="dxa"/>
            <w:vAlign w:val="center"/>
          </w:tcPr>
          <w:p w14:paraId="737FB8AD" w14:textId="082C0193" w:rsidR="00E01C14" w:rsidRDefault="00E01C14" w:rsidP="00E01C14">
            <w:r>
              <w:rPr>
                <w:rFonts w:ascii="PTSansRegular" w:hAnsi="PTSansRegular"/>
                <w:color w:val="231F20"/>
                <w:sz w:val="23"/>
                <w:szCs w:val="23"/>
              </w:rPr>
              <w:t>Репутационный риск (ущерб деловой репутации), связанный с мнением общественности (государственных гражданских (муниципальных) служащих, партнеров, институтов гражданского общества)</w:t>
            </w:r>
          </w:p>
        </w:tc>
        <w:tc>
          <w:tcPr>
            <w:tcW w:w="6157" w:type="dxa"/>
            <w:vAlign w:val="center"/>
          </w:tcPr>
          <w:p w14:paraId="05DCC91A" w14:textId="1B4523DF" w:rsidR="00E01C14" w:rsidRDefault="00E01C14" w:rsidP="00E01C14">
            <w:r>
              <w:rPr>
                <w:rFonts w:ascii="PTSansRegular" w:hAnsi="PTSansRegular"/>
                <w:color w:val="231F20"/>
                <w:sz w:val="23"/>
                <w:szCs w:val="23"/>
              </w:rPr>
              <w:t>Внутренний контроль текстов новостных статей, публичных заявлений сотрудников</w:t>
            </w:r>
          </w:p>
        </w:tc>
        <w:tc>
          <w:tcPr>
            <w:tcW w:w="1452" w:type="dxa"/>
            <w:vAlign w:val="center"/>
          </w:tcPr>
          <w:p w14:paraId="021B8E7D" w14:textId="467DCFB8" w:rsidR="00E01C14" w:rsidRDefault="00E01C14" w:rsidP="00E01C14">
            <w:r>
              <w:rPr>
                <w:rFonts w:ascii="PTSansRegular" w:hAnsi="PTSansRegular"/>
                <w:color w:val="231F20"/>
                <w:sz w:val="23"/>
                <w:szCs w:val="23"/>
              </w:rPr>
              <w:t>На постоянной основе</w:t>
            </w:r>
          </w:p>
        </w:tc>
        <w:tc>
          <w:tcPr>
            <w:tcW w:w="2911" w:type="dxa"/>
            <w:vAlign w:val="center"/>
          </w:tcPr>
          <w:p w14:paraId="7636130B" w14:textId="6396980A" w:rsidR="00E01C14" w:rsidRDefault="00E01C14" w:rsidP="00E01C14">
            <w:r>
              <w:rPr>
                <w:rFonts w:ascii="PTSansRegular" w:hAnsi="PTSansRegular"/>
                <w:color w:val="231F20"/>
                <w:sz w:val="23"/>
                <w:szCs w:val="23"/>
              </w:rPr>
              <w:t>Исключение из новостных статей, публичных выступлений сотрудников, оборотов, которые приводят или могут привести к недопущению, ограничению или устранению конкуренции</w:t>
            </w:r>
          </w:p>
        </w:tc>
      </w:tr>
      <w:tr w:rsidR="00E01C14" w14:paraId="2FDBF1AA" w14:textId="77777777" w:rsidTr="0042257D">
        <w:tc>
          <w:tcPr>
            <w:tcW w:w="1129" w:type="dxa"/>
            <w:vAlign w:val="center"/>
          </w:tcPr>
          <w:p w14:paraId="06333E72" w14:textId="23539B70" w:rsidR="00E01C14" w:rsidRDefault="00E01C14" w:rsidP="00E01C14">
            <w:r>
              <w:rPr>
                <w:rFonts w:ascii="PTSansRegular" w:hAnsi="PTSansRegular"/>
                <w:color w:val="231F20"/>
                <w:sz w:val="23"/>
                <w:szCs w:val="23"/>
              </w:rPr>
              <w:t>11</w:t>
            </w:r>
          </w:p>
        </w:tc>
        <w:tc>
          <w:tcPr>
            <w:tcW w:w="2911" w:type="dxa"/>
            <w:vAlign w:val="center"/>
          </w:tcPr>
          <w:p w14:paraId="76EF5AA7" w14:textId="597EEF6D" w:rsidR="00E01C14" w:rsidRDefault="00E01C14" w:rsidP="00E01C14">
            <w:r>
              <w:rPr>
                <w:rFonts w:ascii="PTSansRegular" w:hAnsi="PTSansRegular"/>
                <w:color w:val="231F20"/>
                <w:sz w:val="23"/>
                <w:szCs w:val="23"/>
              </w:rPr>
              <w:t>Несвоевременная подготовка ответов на обращения граждан и юридических лиц, поступивших на рассмотрение</w:t>
            </w:r>
          </w:p>
        </w:tc>
        <w:tc>
          <w:tcPr>
            <w:tcW w:w="6157" w:type="dxa"/>
            <w:vAlign w:val="center"/>
          </w:tcPr>
          <w:p w14:paraId="57759E32" w14:textId="75B41D55" w:rsidR="00E01C14" w:rsidRDefault="00E01C14" w:rsidP="00E01C14">
            <w:r>
              <w:rPr>
                <w:rFonts w:ascii="PTSansRegular" w:hAnsi="PTSansRegular"/>
                <w:color w:val="231F20"/>
                <w:sz w:val="23"/>
                <w:szCs w:val="23"/>
              </w:rPr>
              <w:t>Мониторинг выполнения обращений, проведение обучающих мероприятий по изучению действующего законодательства</w:t>
            </w:r>
          </w:p>
        </w:tc>
        <w:tc>
          <w:tcPr>
            <w:tcW w:w="1452" w:type="dxa"/>
            <w:vAlign w:val="center"/>
          </w:tcPr>
          <w:p w14:paraId="5642C2CC" w14:textId="19D645EF" w:rsidR="00E01C14" w:rsidRDefault="00E01C14" w:rsidP="00E01C14">
            <w:r>
              <w:rPr>
                <w:rFonts w:ascii="PTSansRegular" w:hAnsi="PTSansRegular"/>
                <w:color w:val="231F20"/>
                <w:sz w:val="23"/>
                <w:szCs w:val="23"/>
              </w:rPr>
              <w:t>На постоянной основе</w:t>
            </w:r>
          </w:p>
        </w:tc>
        <w:tc>
          <w:tcPr>
            <w:tcW w:w="2911" w:type="dxa"/>
            <w:vAlign w:val="center"/>
          </w:tcPr>
          <w:p w14:paraId="5A37F5C2" w14:textId="4C45A5A2" w:rsidR="00E01C14" w:rsidRDefault="00E01C14" w:rsidP="00E01C14">
            <w:r>
              <w:rPr>
                <w:rFonts w:ascii="PTSansRegular" w:hAnsi="PTSansRegular"/>
                <w:color w:val="231F20"/>
                <w:sz w:val="23"/>
                <w:szCs w:val="23"/>
              </w:rPr>
              <w:t>Повышение квалификации сотрудников, ответственных за предоставление информации и ответов на обращения</w:t>
            </w:r>
          </w:p>
        </w:tc>
      </w:tr>
      <w:tr w:rsidR="00E01C14" w14:paraId="42E78E1D" w14:textId="77777777" w:rsidTr="0042257D">
        <w:tc>
          <w:tcPr>
            <w:tcW w:w="1129" w:type="dxa"/>
            <w:vAlign w:val="center"/>
          </w:tcPr>
          <w:p w14:paraId="23D2C699" w14:textId="26F02074" w:rsidR="00E01C14" w:rsidRDefault="00E01C14" w:rsidP="00E01C14">
            <w:r>
              <w:rPr>
                <w:rFonts w:ascii="PTSansRegular" w:hAnsi="PTSansRegular"/>
                <w:color w:val="231F20"/>
                <w:sz w:val="23"/>
                <w:szCs w:val="23"/>
              </w:rPr>
              <w:lastRenderedPageBreak/>
              <w:t>12</w:t>
            </w:r>
          </w:p>
        </w:tc>
        <w:tc>
          <w:tcPr>
            <w:tcW w:w="2911" w:type="dxa"/>
            <w:vAlign w:val="center"/>
          </w:tcPr>
          <w:p w14:paraId="6819AC21" w14:textId="6519CB7E" w:rsidR="00E01C14" w:rsidRDefault="00E01C14" w:rsidP="00E01C14">
            <w:r>
              <w:rPr>
                <w:rFonts w:ascii="PTSansRegular" w:hAnsi="PTSansRegular"/>
                <w:color w:val="231F20"/>
                <w:sz w:val="23"/>
                <w:szCs w:val="23"/>
              </w:rPr>
              <w:t>Нарушение порядка или необоснованный отказ в предоставлении государственной или муниципальной услуги</w:t>
            </w:r>
          </w:p>
        </w:tc>
        <w:tc>
          <w:tcPr>
            <w:tcW w:w="6157" w:type="dxa"/>
            <w:vAlign w:val="center"/>
          </w:tcPr>
          <w:p w14:paraId="29A09A4F" w14:textId="77777777" w:rsidR="00E01C14" w:rsidRDefault="00E01C14" w:rsidP="00E01C14">
            <w:pPr>
              <w:pStyle w:val="a4"/>
              <w:spacing w:before="0" w:beforeAutospacing="0" w:after="0" w:afterAutospacing="0" w:line="315" w:lineRule="atLeast"/>
              <w:jc w:val="center"/>
              <w:rPr>
                <w:rFonts w:ascii="PTSansRegular" w:hAnsi="PTSansRegular"/>
                <w:color w:val="231F20"/>
                <w:sz w:val="23"/>
                <w:szCs w:val="23"/>
              </w:rPr>
            </w:pPr>
            <w:r>
              <w:rPr>
                <w:rFonts w:ascii="PTSansRegular" w:hAnsi="PTSansRegular"/>
                <w:color w:val="231F20"/>
                <w:sz w:val="23"/>
                <w:szCs w:val="23"/>
              </w:rPr>
              <w:t>Повышение профессиональной подготовки работников, обучение сотрудников;</w:t>
            </w:r>
          </w:p>
          <w:p w14:paraId="114C9401" w14:textId="77777777" w:rsidR="00E01C14" w:rsidRDefault="00E01C14" w:rsidP="00E01C14">
            <w:pPr>
              <w:pStyle w:val="a4"/>
              <w:spacing w:before="0" w:beforeAutospacing="0" w:after="0" w:afterAutospacing="0" w:line="315" w:lineRule="atLeast"/>
              <w:jc w:val="center"/>
              <w:rPr>
                <w:rFonts w:ascii="PTSansRegular" w:hAnsi="PTSansRegular"/>
                <w:color w:val="231F20"/>
                <w:sz w:val="23"/>
                <w:szCs w:val="23"/>
              </w:rPr>
            </w:pPr>
            <w:r>
              <w:rPr>
                <w:rFonts w:ascii="PTSansRegular" w:hAnsi="PTSansRegular"/>
                <w:color w:val="231F20"/>
                <w:sz w:val="23"/>
                <w:szCs w:val="23"/>
              </w:rPr>
              <w:t>Повышение эффективности процесса управления;</w:t>
            </w:r>
          </w:p>
          <w:p w14:paraId="41D6B2E5" w14:textId="77777777" w:rsidR="00E01C14" w:rsidRDefault="00E01C14" w:rsidP="00E01C14">
            <w:pPr>
              <w:pStyle w:val="a4"/>
              <w:spacing w:before="0" w:beforeAutospacing="0" w:after="0" w:afterAutospacing="0" w:line="315" w:lineRule="atLeast"/>
              <w:jc w:val="center"/>
              <w:rPr>
                <w:rFonts w:ascii="PTSansRegular" w:hAnsi="PTSansRegular"/>
                <w:color w:val="231F20"/>
                <w:sz w:val="23"/>
                <w:szCs w:val="23"/>
              </w:rPr>
            </w:pPr>
            <w:r>
              <w:rPr>
                <w:rFonts w:ascii="PTSansRegular" w:hAnsi="PTSansRegular"/>
                <w:color w:val="231F20"/>
                <w:sz w:val="23"/>
                <w:szCs w:val="23"/>
              </w:rPr>
              <w:t>Осуществление текущего контроля предоставления услуги;</w:t>
            </w:r>
          </w:p>
          <w:p w14:paraId="3BED51F1" w14:textId="6499CE6F" w:rsidR="00E01C14" w:rsidRDefault="00E01C14" w:rsidP="00E01C14">
            <w:r>
              <w:rPr>
                <w:rFonts w:ascii="PTSansRegular" w:hAnsi="PTSansRegular"/>
                <w:color w:val="231F20"/>
                <w:sz w:val="23"/>
                <w:szCs w:val="23"/>
              </w:rPr>
              <w:t>Проведение мероприятий по предотвращению конфликта интересов у сотрудника.</w:t>
            </w:r>
          </w:p>
        </w:tc>
        <w:tc>
          <w:tcPr>
            <w:tcW w:w="1452" w:type="dxa"/>
            <w:vAlign w:val="center"/>
          </w:tcPr>
          <w:p w14:paraId="1A6D703B" w14:textId="7B9170F5" w:rsidR="00E01C14" w:rsidRDefault="00E01C14" w:rsidP="00E01C14">
            <w:r>
              <w:rPr>
                <w:rFonts w:ascii="PTSansRegular" w:hAnsi="PTSansRegular"/>
                <w:color w:val="231F20"/>
                <w:sz w:val="23"/>
                <w:szCs w:val="23"/>
              </w:rPr>
              <w:t>На постоянной основе</w:t>
            </w:r>
          </w:p>
        </w:tc>
        <w:tc>
          <w:tcPr>
            <w:tcW w:w="2911" w:type="dxa"/>
            <w:vAlign w:val="center"/>
          </w:tcPr>
          <w:p w14:paraId="73774D90" w14:textId="15A751C8" w:rsidR="00E01C14" w:rsidRDefault="00E01C14" w:rsidP="00E01C14">
            <w:r>
              <w:rPr>
                <w:rFonts w:ascii="PTSansRegular" w:hAnsi="PTSansRegular"/>
                <w:color w:val="231F20"/>
                <w:sz w:val="23"/>
                <w:szCs w:val="23"/>
              </w:rPr>
              <w:t>Исключение рисков необоснованного отказа в предоставлении государственной или муниципальной услуги</w:t>
            </w:r>
          </w:p>
        </w:tc>
      </w:tr>
      <w:tr w:rsidR="00816356" w14:paraId="1C51C82C" w14:textId="77777777" w:rsidTr="002B187A">
        <w:tc>
          <w:tcPr>
            <w:tcW w:w="1129" w:type="dxa"/>
            <w:vAlign w:val="center"/>
          </w:tcPr>
          <w:p w14:paraId="4843D1AA" w14:textId="433E290F" w:rsidR="00816356" w:rsidRDefault="00816356" w:rsidP="00816356">
            <w:r>
              <w:rPr>
                <w:rFonts w:ascii="PTSansRegular" w:hAnsi="PTSansRegular"/>
                <w:color w:val="231F20"/>
                <w:sz w:val="23"/>
                <w:szCs w:val="23"/>
              </w:rPr>
              <w:t>13</w:t>
            </w:r>
          </w:p>
        </w:tc>
        <w:tc>
          <w:tcPr>
            <w:tcW w:w="2911" w:type="dxa"/>
            <w:vAlign w:val="center"/>
          </w:tcPr>
          <w:p w14:paraId="6CCF4C82" w14:textId="42B9FA18" w:rsidR="00816356" w:rsidRDefault="00816356" w:rsidP="00816356">
            <w:r>
              <w:rPr>
                <w:rFonts w:ascii="PTSansRegular" w:hAnsi="PTSansRegular"/>
                <w:color w:val="231F20"/>
                <w:sz w:val="23"/>
                <w:szCs w:val="23"/>
              </w:rPr>
              <w:t>Наличие комплаенс-рисков в действующих нормативных правовых актах</w:t>
            </w:r>
          </w:p>
        </w:tc>
        <w:tc>
          <w:tcPr>
            <w:tcW w:w="6157" w:type="dxa"/>
            <w:vAlign w:val="center"/>
          </w:tcPr>
          <w:p w14:paraId="67B70AB0" w14:textId="73BC35CB" w:rsidR="00816356" w:rsidRDefault="00816356" w:rsidP="00816356">
            <w:r>
              <w:rPr>
                <w:rFonts w:ascii="PTSansRegular" w:hAnsi="PTSansRegular"/>
                <w:color w:val="231F20"/>
                <w:sz w:val="23"/>
                <w:szCs w:val="23"/>
              </w:rPr>
              <w:t>Проведение анализа действующих нормативных правовых актов на предмет соответствия положениям антимонопольного законодательства</w:t>
            </w:r>
          </w:p>
        </w:tc>
        <w:tc>
          <w:tcPr>
            <w:tcW w:w="1452" w:type="dxa"/>
            <w:vAlign w:val="center"/>
          </w:tcPr>
          <w:p w14:paraId="7421FEB1" w14:textId="1668AD1A" w:rsidR="00816356" w:rsidRDefault="00816356" w:rsidP="00816356">
            <w:r>
              <w:rPr>
                <w:rFonts w:ascii="PTSansRegular" w:hAnsi="PTSansRegular"/>
                <w:color w:val="231F20"/>
                <w:sz w:val="23"/>
                <w:szCs w:val="23"/>
              </w:rPr>
              <w:t>Ежегодно</w:t>
            </w:r>
          </w:p>
        </w:tc>
        <w:tc>
          <w:tcPr>
            <w:tcW w:w="2911" w:type="dxa"/>
            <w:vAlign w:val="center"/>
          </w:tcPr>
          <w:p w14:paraId="5734B6B3" w14:textId="48C577C4" w:rsidR="00816356" w:rsidRDefault="00816356" w:rsidP="00816356">
            <w:r>
              <w:rPr>
                <w:rFonts w:ascii="PTSansRegular" w:hAnsi="PTSansRegular"/>
                <w:color w:val="231F20"/>
                <w:sz w:val="23"/>
                <w:szCs w:val="23"/>
              </w:rPr>
              <w:t>Формирование перечня действующих нормативных правовых актов, реализация которых связана с соблюдением положений антимонопольного законодательства. При необходимости – внесение соответствующих изменений в нормативные правовые акты</w:t>
            </w:r>
          </w:p>
        </w:tc>
      </w:tr>
      <w:tr w:rsidR="00816356" w14:paraId="27A57917" w14:textId="77777777" w:rsidTr="002B187A">
        <w:tc>
          <w:tcPr>
            <w:tcW w:w="1129" w:type="dxa"/>
            <w:vAlign w:val="center"/>
          </w:tcPr>
          <w:p w14:paraId="41D1DC9E" w14:textId="5A907251" w:rsidR="00816356" w:rsidRDefault="00816356" w:rsidP="00816356">
            <w:r>
              <w:rPr>
                <w:rFonts w:ascii="PTSansRegular" w:hAnsi="PTSansRegular"/>
                <w:color w:val="231F20"/>
                <w:sz w:val="23"/>
                <w:szCs w:val="23"/>
              </w:rPr>
              <w:t>14</w:t>
            </w:r>
          </w:p>
        </w:tc>
        <w:tc>
          <w:tcPr>
            <w:tcW w:w="2911" w:type="dxa"/>
            <w:vAlign w:val="center"/>
          </w:tcPr>
          <w:p w14:paraId="2B097B7B" w14:textId="727E7EA4" w:rsidR="00816356" w:rsidRDefault="00816356" w:rsidP="00816356">
            <w:r>
              <w:rPr>
                <w:rFonts w:ascii="PTSansRegular" w:hAnsi="PTSansRegular"/>
                <w:color w:val="231F20"/>
                <w:sz w:val="23"/>
                <w:szCs w:val="23"/>
              </w:rPr>
              <w:t>Наличие комплаенс-рисков в проектах нормативных правовых актов</w:t>
            </w:r>
          </w:p>
        </w:tc>
        <w:tc>
          <w:tcPr>
            <w:tcW w:w="6157" w:type="dxa"/>
            <w:vAlign w:val="center"/>
          </w:tcPr>
          <w:p w14:paraId="25D2EE9C" w14:textId="79CD4506" w:rsidR="00816356" w:rsidRDefault="00816356" w:rsidP="00816356">
            <w:r>
              <w:rPr>
                <w:rFonts w:ascii="PTSansRegular" w:hAnsi="PTSansRegular"/>
                <w:color w:val="231F20"/>
                <w:sz w:val="23"/>
                <w:szCs w:val="23"/>
              </w:rPr>
              <w:t>Проведение анализа проектов нормативных правовых актов, на предмет соответствия положениям антимонопольного законодательства</w:t>
            </w:r>
          </w:p>
        </w:tc>
        <w:tc>
          <w:tcPr>
            <w:tcW w:w="1452" w:type="dxa"/>
            <w:vAlign w:val="center"/>
          </w:tcPr>
          <w:p w14:paraId="281890BE" w14:textId="52DDE34D" w:rsidR="00816356" w:rsidRDefault="00816356" w:rsidP="00816356">
            <w:r>
              <w:rPr>
                <w:rFonts w:ascii="PTSansRegular" w:hAnsi="PTSansRegular"/>
                <w:color w:val="231F20"/>
                <w:sz w:val="23"/>
                <w:szCs w:val="23"/>
              </w:rPr>
              <w:t>На постоянной основе</w:t>
            </w:r>
          </w:p>
        </w:tc>
        <w:tc>
          <w:tcPr>
            <w:tcW w:w="2911" w:type="dxa"/>
            <w:vAlign w:val="center"/>
          </w:tcPr>
          <w:p w14:paraId="51759A18" w14:textId="2565DF02" w:rsidR="00816356" w:rsidRDefault="00816356" w:rsidP="00816356">
            <w:r>
              <w:rPr>
                <w:rFonts w:ascii="PTSansRegular" w:hAnsi="PTSansRegular"/>
                <w:color w:val="231F20"/>
                <w:sz w:val="23"/>
                <w:szCs w:val="23"/>
              </w:rPr>
              <w:t>Исключение из проекта нормативного правового акта положений, которые могут привести к недопущению, ограничению или устранению конкуренции</w:t>
            </w:r>
          </w:p>
        </w:tc>
      </w:tr>
      <w:tr w:rsidR="00816356" w14:paraId="468902C3" w14:textId="77777777" w:rsidTr="002B187A">
        <w:tc>
          <w:tcPr>
            <w:tcW w:w="1129" w:type="dxa"/>
            <w:vAlign w:val="center"/>
          </w:tcPr>
          <w:p w14:paraId="19B39BA1" w14:textId="502927FE" w:rsidR="00816356" w:rsidRDefault="00816356" w:rsidP="00816356">
            <w:r>
              <w:rPr>
                <w:rFonts w:ascii="PTSansRegular" w:hAnsi="PTSansRegular"/>
                <w:color w:val="231F20"/>
                <w:sz w:val="23"/>
                <w:szCs w:val="23"/>
              </w:rPr>
              <w:t>15</w:t>
            </w:r>
          </w:p>
        </w:tc>
        <w:tc>
          <w:tcPr>
            <w:tcW w:w="2911" w:type="dxa"/>
            <w:vAlign w:val="center"/>
          </w:tcPr>
          <w:p w14:paraId="1A6628BC" w14:textId="55F01410" w:rsidR="00816356" w:rsidRDefault="00816356" w:rsidP="00816356">
            <w:r>
              <w:rPr>
                <w:rFonts w:ascii="PTSansRegular" w:hAnsi="PTSansRegular"/>
                <w:color w:val="231F20"/>
                <w:sz w:val="23"/>
                <w:szCs w:val="23"/>
              </w:rPr>
              <w:t>Создание и контроль деятельности подведомственных учреждений, хозяйственных обществ</w:t>
            </w:r>
          </w:p>
        </w:tc>
        <w:tc>
          <w:tcPr>
            <w:tcW w:w="6157" w:type="dxa"/>
            <w:vAlign w:val="center"/>
          </w:tcPr>
          <w:p w14:paraId="5C358571" w14:textId="763E8D04" w:rsidR="00816356" w:rsidRDefault="00816356" w:rsidP="00816356">
            <w:r>
              <w:rPr>
                <w:rFonts w:ascii="PTSansRegular" w:hAnsi="PTSansRegular"/>
                <w:color w:val="231F20"/>
                <w:sz w:val="23"/>
                <w:szCs w:val="23"/>
              </w:rPr>
              <w:t xml:space="preserve">Повышение уровня квалификации должностных лиц, повышение эффективности процесса управления, анализ учредительных документов организаций, находящихся в ведомственном подчинении, на </w:t>
            </w:r>
            <w:r>
              <w:rPr>
                <w:rFonts w:ascii="PTSansRegular" w:hAnsi="PTSansRegular"/>
                <w:color w:val="231F20"/>
                <w:sz w:val="23"/>
                <w:szCs w:val="23"/>
              </w:rPr>
              <w:lastRenderedPageBreak/>
              <w:t>предмет соответствия положениям антимонопольного законодательства</w:t>
            </w:r>
          </w:p>
        </w:tc>
        <w:tc>
          <w:tcPr>
            <w:tcW w:w="1452" w:type="dxa"/>
            <w:vAlign w:val="center"/>
          </w:tcPr>
          <w:p w14:paraId="0C4D3564" w14:textId="58B4BF2C" w:rsidR="00816356" w:rsidRDefault="00816356" w:rsidP="00816356">
            <w:r>
              <w:rPr>
                <w:rFonts w:ascii="PTSansRegular" w:hAnsi="PTSansRegular"/>
                <w:color w:val="231F20"/>
                <w:sz w:val="23"/>
                <w:szCs w:val="23"/>
              </w:rPr>
              <w:lastRenderedPageBreak/>
              <w:t>На постоянной основе</w:t>
            </w:r>
          </w:p>
        </w:tc>
        <w:tc>
          <w:tcPr>
            <w:tcW w:w="2911" w:type="dxa"/>
            <w:vAlign w:val="center"/>
          </w:tcPr>
          <w:p w14:paraId="0906020B" w14:textId="2916EA68" w:rsidR="00816356" w:rsidRDefault="00816356" w:rsidP="00816356">
            <w:r>
              <w:rPr>
                <w:rFonts w:ascii="PTSansRegular" w:hAnsi="PTSansRegular"/>
                <w:color w:val="231F20"/>
                <w:sz w:val="23"/>
                <w:szCs w:val="23"/>
              </w:rPr>
              <w:t>Исключение рисков нарушения положений антимонопольного законодательства</w:t>
            </w:r>
          </w:p>
        </w:tc>
      </w:tr>
      <w:tr w:rsidR="00816356" w14:paraId="7F5EBB78" w14:textId="77777777" w:rsidTr="009F3759">
        <w:tc>
          <w:tcPr>
            <w:tcW w:w="1129" w:type="dxa"/>
            <w:vAlign w:val="center"/>
          </w:tcPr>
          <w:p w14:paraId="414D14C5" w14:textId="094CDF36" w:rsidR="00816356" w:rsidRDefault="00816356" w:rsidP="00816356">
            <w:r>
              <w:rPr>
                <w:rFonts w:ascii="PTSansRegular" w:hAnsi="PTSansRegular"/>
                <w:color w:val="231F20"/>
                <w:sz w:val="23"/>
                <w:szCs w:val="23"/>
              </w:rPr>
              <w:t>16</w:t>
            </w:r>
          </w:p>
        </w:tc>
        <w:tc>
          <w:tcPr>
            <w:tcW w:w="2911" w:type="dxa"/>
            <w:vAlign w:val="center"/>
          </w:tcPr>
          <w:p w14:paraId="4522A6A1" w14:textId="651BCA6B" w:rsidR="00816356" w:rsidRDefault="00816356" w:rsidP="00816356">
            <w:r>
              <w:rPr>
                <w:rFonts w:ascii="PTSansRegular" w:hAnsi="PTSansRegular"/>
                <w:color w:val="231F20"/>
                <w:sz w:val="23"/>
                <w:szCs w:val="23"/>
              </w:rPr>
              <w:t>Нарушение положений антимонопольного законодательства при подписании соглашений о сотрудничестве между органом власти и хозяйствующими субъектами</w:t>
            </w:r>
          </w:p>
        </w:tc>
        <w:tc>
          <w:tcPr>
            <w:tcW w:w="6157" w:type="dxa"/>
            <w:vAlign w:val="center"/>
          </w:tcPr>
          <w:p w14:paraId="5D5F38E4" w14:textId="763166B9" w:rsidR="00816356" w:rsidRDefault="00816356" w:rsidP="00816356">
            <w:r>
              <w:rPr>
                <w:rFonts w:ascii="PTSansRegular" w:hAnsi="PTSansRegular"/>
                <w:color w:val="231F20"/>
                <w:sz w:val="23"/>
                <w:szCs w:val="23"/>
              </w:rPr>
              <w:t>Проведение анализа проектов соглашений о сотрудничестве, на предмет соответствия положениям антимонопольного законодательства</w:t>
            </w:r>
          </w:p>
        </w:tc>
        <w:tc>
          <w:tcPr>
            <w:tcW w:w="1452" w:type="dxa"/>
            <w:vAlign w:val="center"/>
          </w:tcPr>
          <w:p w14:paraId="29166AD5" w14:textId="603ED113" w:rsidR="00816356" w:rsidRDefault="00816356" w:rsidP="00816356">
            <w:r>
              <w:rPr>
                <w:rFonts w:ascii="PTSansRegular" w:hAnsi="PTSansRegular"/>
                <w:color w:val="231F20"/>
                <w:sz w:val="23"/>
                <w:szCs w:val="23"/>
              </w:rPr>
              <w:t>На постоянной основе</w:t>
            </w:r>
          </w:p>
        </w:tc>
        <w:tc>
          <w:tcPr>
            <w:tcW w:w="2911" w:type="dxa"/>
            <w:vAlign w:val="center"/>
          </w:tcPr>
          <w:p w14:paraId="5C0D2559" w14:textId="64E7A822" w:rsidR="00816356" w:rsidRDefault="00816356" w:rsidP="00816356">
            <w:r>
              <w:rPr>
                <w:rFonts w:ascii="PTSansRegular" w:hAnsi="PTSansRegular"/>
                <w:color w:val="231F20"/>
                <w:sz w:val="23"/>
                <w:szCs w:val="23"/>
              </w:rPr>
              <w:t>Исключение из проектов соглашений о сотрудничестве положений, которые могут привести к недопущению, ограничению или устранению конкуренции</w:t>
            </w:r>
          </w:p>
        </w:tc>
      </w:tr>
      <w:tr w:rsidR="00816356" w14:paraId="77397DDB" w14:textId="77777777" w:rsidTr="009F3759">
        <w:tc>
          <w:tcPr>
            <w:tcW w:w="1129" w:type="dxa"/>
            <w:vAlign w:val="center"/>
          </w:tcPr>
          <w:p w14:paraId="2C62E487" w14:textId="2629FF36" w:rsidR="00816356" w:rsidRDefault="00816356" w:rsidP="00816356">
            <w:r>
              <w:rPr>
                <w:rFonts w:ascii="PTSansRegular" w:hAnsi="PTSansRegular"/>
                <w:color w:val="231F20"/>
                <w:sz w:val="23"/>
                <w:szCs w:val="23"/>
              </w:rPr>
              <w:t>17</w:t>
            </w:r>
          </w:p>
        </w:tc>
        <w:tc>
          <w:tcPr>
            <w:tcW w:w="2911" w:type="dxa"/>
            <w:vAlign w:val="center"/>
          </w:tcPr>
          <w:p w14:paraId="68E5EBA7" w14:textId="343092CF" w:rsidR="00816356" w:rsidRDefault="00816356" w:rsidP="00816356">
            <w:r>
              <w:rPr>
                <w:rFonts w:ascii="PTSansRegular" w:hAnsi="PTSansRegular"/>
                <w:color w:val="231F20"/>
                <w:sz w:val="23"/>
                <w:szCs w:val="23"/>
              </w:rPr>
              <w:t>Непринятие мер по предотвращению или урегулированию конфликта интересов при исполнении должностными лицами своих обязанностей</w:t>
            </w:r>
          </w:p>
        </w:tc>
        <w:tc>
          <w:tcPr>
            <w:tcW w:w="6157" w:type="dxa"/>
            <w:vAlign w:val="center"/>
          </w:tcPr>
          <w:p w14:paraId="578E52FD" w14:textId="467CE105" w:rsidR="00816356" w:rsidRDefault="00816356" w:rsidP="00816356">
            <w:r>
              <w:rPr>
                <w:rFonts w:ascii="PTSansRegular" w:hAnsi="PTSansRegular"/>
                <w:color w:val="231F20"/>
                <w:sz w:val="23"/>
                <w:szCs w:val="23"/>
              </w:rPr>
              <w:t>Разъяснение должностным лицам о возможных мерах ответственности, при наступлении события, основанного на конфликте интересов</w:t>
            </w:r>
          </w:p>
        </w:tc>
        <w:tc>
          <w:tcPr>
            <w:tcW w:w="1452" w:type="dxa"/>
            <w:vAlign w:val="center"/>
          </w:tcPr>
          <w:p w14:paraId="0A128E47" w14:textId="3FD16425" w:rsidR="00816356" w:rsidRDefault="00816356" w:rsidP="00816356">
            <w:r>
              <w:rPr>
                <w:rFonts w:ascii="PTSansRegular" w:hAnsi="PTSansRegular"/>
                <w:color w:val="231F20"/>
                <w:sz w:val="23"/>
                <w:szCs w:val="23"/>
              </w:rPr>
              <w:t>На постоянной основе</w:t>
            </w:r>
          </w:p>
        </w:tc>
        <w:tc>
          <w:tcPr>
            <w:tcW w:w="2911" w:type="dxa"/>
            <w:vAlign w:val="center"/>
          </w:tcPr>
          <w:p w14:paraId="04E8EF85" w14:textId="5EFBA56C" w:rsidR="00816356" w:rsidRDefault="00816356" w:rsidP="00816356">
            <w:r>
              <w:rPr>
                <w:rFonts w:ascii="PTSansRegular" w:hAnsi="PTSansRegular"/>
                <w:color w:val="231F20"/>
                <w:sz w:val="23"/>
                <w:szCs w:val="23"/>
              </w:rPr>
              <w:t>Предотвращение или урегулирование конфликта интересов</w:t>
            </w:r>
          </w:p>
        </w:tc>
      </w:tr>
      <w:tr w:rsidR="00816356" w14:paraId="18C0DD19" w14:textId="77777777" w:rsidTr="009F3759">
        <w:tc>
          <w:tcPr>
            <w:tcW w:w="1129" w:type="dxa"/>
            <w:vAlign w:val="center"/>
          </w:tcPr>
          <w:p w14:paraId="5A86074C" w14:textId="77061319" w:rsidR="00816356" w:rsidRDefault="00816356" w:rsidP="00816356">
            <w:r>
              <w:rPr>
                <w:rFonts w:ascii="PTSansRegular" w:hAnsi="PTSansRegular"/>
                <w:color w:val="231F20"/>
                <w:sz w:val="23"/>
                <w:szCs w:val="23"/>
              </w:rPr>
              <w:t>18</w:t>
            </w:r>
          </w:p>
        </w:tc>
        <w:tc>
          <w:tcPr>
            <w:tcW w:w="2911" w:type="dxa"/>
            <w:vAlign w:val="center"/>
          </w:tcPr>
          <w:p w14:paraId="62D2DB07" w14:textId="3F179161" w:rsidR="00816356" w:rsidRDefault="00816356" w:rsidP="00816356">
            <w:r>
              <w:rPr>
                <w:rFonts w:ascii="PTSansRegular" w:hAnsi="PTSansRegular"/>
                <w:color w:val="231F20"/>
                <w:sz w:val="23"/>
                <w:szCs w:val="23"/>
              </w:rPr>
              <w:t>Незаконное привлечение физических и юридических лиц к административной ответственности при осуществлении контроля закупок</w:t>
            </w:r>
          </w:p>
        </w:tc>
        <w:tc>
          <w:tcPr>
            <w:tcW w:w="6157" w:type="dxa"/>
            <w:vAlign w:val="center"/>
          </w:tcPr>
          <w:p w14:paraId="4E299560" w14:textId="06311447" w:rsidR="00816356" w:rsidRDefault="00816356" w:rsidP="00816356">
            <w:r>
              <w:rPr>
                <w:rFonts w:ascii="PTSansRegular" w:hAnsi="PTSansRegular"/>
                <w:color w:val="231F20"/>
                <w:sz w:val="23"/>
                <w:szCs w:val="23"/>
              </w:rPr>
              <w:t>Изучение норм административного законодательства, а также административной практики должностными лицами, ответственными за составление протоколов об административных правонарушениях</w:t>
            </w:r>
          </w:p>
        </w:tc>
        <w:tc>
          <w:tcPr>
            <w:tcW w:w="1452" w:type="dxa"/>
            <w:vAlign w:val="center"/>
          </w:tcPr>
          <w:p w14:paraId="2C546B0E" w14:textId="23E399B2" w:rsidR="00816356" w:rsidRDefault="00816356" w:rsidP="00816356">
            <w:r>
              <w:rPr>
                <w:rFonts w:ascii="PTSansRegular" w:hAnsi="PTSansRegular"/>
                <w:color w:val="231F20"/>
                <w:sz w:val="23"/>
                <w:szCs w:val="23"/>
              </w:rPr>
              <w:t>На постоянной основе</w:t>
            </w:r>
          </w:p>
        </w:tc>
        <w:tc>
          <w:tcPr>
            <w:tcW w:w="2911" w:type="dxa"/>
            <w:vAlign w:val="center"/>
          </w:tcPr>
          <w:p w14:paraId="3D9BB022" w14:textId="6D8C1A74" w:rsidR="00816356" w:rsidRDefault="00816356" w:rsidP="00816356">
            <w:r>
              <w:rPr>
                <w:rFonts w:ascii="PTSansRegular" w:hAnsi="PTSansRegular"/>
                <w:color w:val="231F20"/>
                <w:sz w:val="23"/>
                <w:szCs w:val="23"/>
              </w:rPr>
              <w:t>Повышение квалификации должностных лиц</w:t>
            </w:r>
          </w:p>
        </w:tc>
      </w:tr>
    </w:tbl>
    <w:p w14:paraId="4A74A135" w14:textId="77777777" w:rsidR="009F1A9B" w:rsidRDefault="009F1A9B"/>
    <w:sectPr w:rsidR="009F1A9B" w:rsidSect="009F1A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PTSansRegular">
    <w:altName w:val="Arial"/>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CF"/>
    <w:rsid w:val="001565CF"/>
    <w:rsid w:val="006C4AF0"/>
    <w:rsid w:val="00816356"/>
    <w:rsid w:val="008C5A9B"/>
    <w:rsid w:val="008C66C1"/>
    <w:rsid w:val="009B499F"/>
    <w:rsid w:val="009F1A9B"/>
    <w:rsid w:val="00DF62E0"/>
    <w:rsid w:val="00E01C14"/>
    <w:rsid w:val="00E06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DB75"/>
  <w15:chartTrackingRefBased/>
  <w15:docId w15:val="{C2581E5F-403A-4F6B-8084-F57A1498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0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5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Силидис Елена Васильевна</dc:creator>
  <cp:keywords/>
  <dc:description/>
  <cp:lastModifiedBy>Силидис Елена Васильевна</cp:lastModifiedBy>
  <cp:revision>9</cp:revision>
  <dcterms:created xsi:type="dcterms:W3CDTF">2021-04-09T11:16:00Z</dcterms:created>
  <dcterms:modified xsi:type="dcterms:W3CDTF">2021-04-09T11:43:00Z</dcterms:modified>
</cp:coreProperties>
</file>