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A7FF" w14:textId="171A574D" w:rsidR="00ED37A9" w:rsidRDefault="00ED37A9" w:rsidP="00ED37A9">
      <w:pPr>
        <w:jc w:val="center"/>
      </w:pPr>
      <w:r w:rsidRPr="000235CC">
        <w:rPr>
          <w:rStyle w:val="a5"/>
          <w:rFonts w:ascii="PTSansRegular" w:hAnsi="PTSansRegular"/>
          <w:color w:val="231F20"/>
          <w:sz w:val="23"/>
          <w:szCs w:val="23"/>
        </w:rPr>
        <w:t>Перечень возможных комплаенс-рисков, причин и условий их возникновения в деятельности органов исполнительной власти и органов местного самоуправления муниципальных образований</w:t>
      </w:r>
    </w:p>
    <w:tbl>
      <w:tblPr>
        <w:tblStyle w:val="a3"/>
        <w:tblW w:w="14359" w:type="dxa"/>
        <w:tblLook w:val="04A0" w:firstRow="1" w:lastRow="0" w:firstColumn="1" w:lastColumn="0" w:noHBand="0" w:noVBand="1"/>
      </w:tblPr>
      <w:tblGrid>
        <w:gridCol w:w="562"/>
        <w:gridCol w:w="1418"/>
        <w:gridCol w:w="3135"/>
        <w:gridCol w:w="4803"/>
        <w:gridCol w:w="2457"/>
        <w:gridCol w:w="1984"/>
      </w:tblGrid>
      <w:tr w:rsidR="004F4926" w:rsidRPr="004F4926" w14:paraId="6E6C5AF4" w14:textId="77777777" w:rsidTr="004F4926">
        <w:tc>
          <w:tcPr>
            <w:tcW w:w="562" w:type="dxa"/>
            <w:vAlign w:val="center"/>
          </w:tcPr>
          <w:p w14:paraId="368FED8A" w14:textId="6E9B2392" w:rsidR="004F4926" w:rsidRPr="004F4926" w:rsidRDefault="004F4926" w:rsidP="0033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4A989236" w14:textId="50B08F53" w:rsidR="004F4926" w:rsidRPr="004F4926" w:rsidRDefault="004F4926" w:rsidP="004F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26">
              <w:rPr>
                <w:rFonts w:ascii="Times New Roman" w:hAnsi="Times New Roman" w:cs="Times New Roman"/>
                <w:sz w:val="24"/>
                <w:szCs w:val="24"/>
              </w:rPr>
              <w:t>Уровень комплаенс-риска</w:t>
            </w:r>
          </w:p>
        </w:tc>
        <w:tc>
          <w:tcPr>
            <w:tcW w:w="3135" w:type="dxa"/>
            <w:vAlign w:val="center"/>
          </w:tcPr>
          <w:p w14:paraId="5A2DFB9B" w14:textId="20774396" w:rsidR="004F4926" w:rsidRPr="004F4926" w:rsidRDefault="004F4926" w:rsidP="004F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26">
              <w:rPr>
                <w:rFonts w:ascii="Times New Roman" w:hAnsi="Times New Roman" w:cs="Times New Roman"/>
                <w:sz w:val="24"/>
                <w:szCs w:val="24"/>
              </w:rPr>
              <w:t>Краткое описание комплаенс-риска</w:t>
            </w:r>
          </w:p>
        </w:tc>
        <w:tc>
          <w:tcPr>
            <w:tcW w:w="4803" w:type="dxa"/>
            <w:vAlign w:val="center"/>
          </w:tcPr>
          <w:p w14:paraId="311A48EB" w14:textId="1A68A291" w:rsidR="004F4926" w:rsidRPr="004F4926" w:rsidRDefault="004F4926" w:rsidP="004F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26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риска</w:t>
            </w:r>
          </w:p>
        </w:tc>
        <w:tc>
          <w:tcPr>
            <w:tcW w:w="2457" w:type="dxa"/>
            <w:vAlign w:val="center"/>
          </w:tcPr>
          <w:p w14:paraId="586C3084" w14:textId="3B315CAF" w:rsidR="004F4926" w:rsidRPr="004F4926" w:rsidRDefault="004F4926" w:rsidP="004F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26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остаточного риска</w:t>
            </w:r>
          </w:p>
        </w:tc>
        <w:tc>
          <w:tcPr>
            <w:tcW w:w="1984" w:type="dxa"/>
            <w:vAlign w:val="center"/>
          </w:tcPr>
          <w:p w14:paraId="498E2D4A" w14:textId="6FBD6E67" w:rsidR="004F4926" w:rsidRPr="004F4926" w:rsidRDefault="004F4926" w:rsidP="004F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26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риска</w:t>
            </w:r>
          </w:p>
        </w:tc>
      </w:tr>
      <w:tr w:rsidR="004F4926" w14:paraId="2F6E16CA" w14:textId="77777777" w:rsidTr="004F4926">
        <w:tc>
          <w:tcPr>
            <w:tcW w:w="562" w:type="dxa"/>
            <w:vAlign w:val="center"/>
          </w:tcPr>
          <w:p w14:paraId="4DEA3222" w14:textId="51415489" w:rsidR="004F4926" w:rsidRDefault="004F4926" w:rsidP="00332A4B">
            <w:pPr>
              <w:jc w:val="center"/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1</w:t>
            </w:r>
          </w:p>
        </w:tc>
        <w:tc>
          <w:tcPr>
            <w:tcW w:w="1418" w:type="dxa"/>
            <w:vAlign w:val="center"/>
          </w:tcPr>
          <w:p w14:paraId="2C9226FB" w14:textId="5254F3FE" w:rsidR="004F4926" w:rsidRDefault="004F4926" w:rsidP="00332A4B">
            <w:pPr>
              <w:jc w:val="center"/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2</w:t>
            </w:r>
          </w:p>
        </w:tc>
        <w:tc>
          <w:tcPr>
            <w:tcW w:w="3135" w:type="dxa"/>
            <w:vAlign w:val="center"/>
          </w:tcPr>
          <w:p w14:paraId="7DEE42D9" w14:textId="20214A84" w:rsidR="004F4926" w:rsidRDefault="004F4926" w:rsidP="00332A4B">
            <w:pPr>
              <w:jc w:val="center"/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3</w:t>
            </w:r>
          </w:p>
        </w:tc>
        <w:tc>
          <w:tcPr>
            <w:tcW w:w="4803" w:type="dxa"/>
            <w:vAlign w:val="center"/>
          </w:tcPr>
          <w:p w14:paraId="38876C9A" w14:textId="38346B5E" w:rsidR="004F4926" w:rsidRDefault="004F4926" w:rsidP="00332A4B">
            <w:pPr>
              <w:jc w:val="center"/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4</w:t>
            </w:r>
          </w:p>
        </w:tc>
        <w:tc>
          <w:tcPr>
            <w:tcW w:w="2457" w:type="dxa"/>
            <w:vAlign w:val="center"/>
          </w:tcPr>
          <w:p w14:paraId="3E5E2DD5" w14:textId="4E07BE94" w:rsidR="004F4926" w:rsidRDefault="004F4926" w:rsidP="00332A4B">
            <w:pPr>
              <w:jc w:val="center"/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5</w:t>
            </w:r>
          </w:p>
        </w:tc>
        <w:tc>
          <w:tcPr>
            <w:tcW w:w="1984" w:type="dxa"/>
            <w:vAlign w:val="center"/>
          </w:tcPr>
          <w:p w14:paraId="3E110EB5" w14:textId="1A270DE8" w:rsidR="004F4926" w:rsidRDefault="004F4926" w:rsidP="00332A4B">
            <w:pPr>
              <w:jc w:val="center"/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6</w:t>
            </w:r>
          </w:p>
        </w:tc>
      </w:tr>
      <w:tr w:rsidR="004F4926" w14:paraId="6CEE9F88" w14:textId="77777777" w:rsidTr="00B73D32">
        <w:tc>
          <w:tcPr>
            <w:tcW w:w="562" w:type="dxa"/>
          </w:tcPr>
          <w:p w14:paraId="2D6CFF7A" w14:textId="27A0E741" w:rsidR="004F4926" w:rsidRDefault="00332A4B" w:rsidP="00332A4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14:paraId="4991B8B9" w14:textId="0B04ACB4" w:rsidR="004F4926" w:rsidRPr="00B73D32" w:rsidRDefault="004F4926" w:rsidP="004F4926">
            <w:r w:rsidRPr="00B73D32">
              <w:rPr>
                <w:rFonts w:ascii="PTSansRegular" w:hAnsi="PTSansRegular"/>
                <w:color w:val="231F20"/>
                <w:sz w:val="23"/>
                <w:szCs w:val="23"/>
              </w:rPr>
              <w:t>Высокий</w:t>
            </w:r>
          </w:p>
        </w:tc>
        <w:tc>
          <w:tcPr>
            <w:tcW w:w="3135" w:type="dxa"/>
            <w:shd w:val="clear" w:color="auto" w:fill="auto"/>
          </w:tcPr>
          <w:p w14:paraId="21C7F37D" w14:textId="77777777" w:rsidR="004F4926" w:rsidRPr="00B73D32" w:rsidRDefault="004F4926" w:rsidP="004F4926">
            <w:pPr>
              <w:rPr>
                <w:rFonts w:ascii="PTSansRegular" w:hAnsi="PTSansRegular"/>
                <w:color w:val="231F20"/>
                <w:sz w:val="23"/>
                <w:szCs w:val="23"/>
                <w:shd w:val="clear" w:color="auto" w:fill="D4E5EC"/>
              </w:rPr>
            </w:pPr>
            <w:r w:rsidRPr="00B73D32">
              <w:rPr>
                <w:rFonts w:ascii="PTSansRegular" w:hAnsi="PTSansRegular"/>
                <w:color w:val="231F20"/>
                <w:sz w:val="23"/>
                <w:szCs w:val="23"/>
              </w:rPr>
              <w:t>осуществление закупок товаров, работ, услуг;</w:t>
            </w:r>
          </w:p>
          <w:p w14:paraId="0ED4BF41" w14:textId="77777777" w:rsidR="004F4926" w:rsidRPr="00B73D32" w:rsidRDefault="004F4926" w:rsidP="004F4926">
            <w:pPr>
              <w:rPr>
                <w:rFonts w:ascii="PTSansRegular" w:hAnsi="PTSansRegular"/>
                <w:color w:val="231F20"/>
                <w:sz w:val="23"/>
                <w:szCs w:val="23"/>
                <w:shd w:val="clear" w:color="auto" w:fill="D4E5EC"/>
              </w:rPr>
            </w:pPr>
          </w:p>
          <w:p w14:paraId="12B9E6F9" w14:textId="77777777" w:rsidR="004F4926" w:rsidRPr="00B73D32" w:rsidRDefault="004F4926" w:rsidP="004F4926">
            <w:pPr>
              <w:rPr>
                <w:rFonts w:ascii="PTSansRegular" w:hAnsi="PTSansRegular"/>
                <w:color w:val="231F20"/>
                <w:sz w:val="23"/>
                <w:szCs w:val="23"/>
                <w:shd w:val="clear" w:color="auto" w:fill="FFFFFF"/>
              </w:rPr>
            </w:pPr>
            <w:r w:rsidRPr="00B73D32">
              <w:rPr>
                <w:rFonts w:ascii="PTSansRegular" w:hAnsi="PTSansRegular"/>
                <w:color w:val="231F20"/>
                <w:sz w:val="23"/>
                <w:szCs w:val="23"/>
                <w:shd w:val="clear" w:color="auto" w:fill="FFFFFF"/>
              </w:rPr>
              <w:t>предоставление в пользование государственного имущества, включая земельные участки;</w:t>
            </w:r>
          </w:p>
          <w:p w14:paraId="00DEA771" w14:textId="77777777" w:rsidR="004F4926" w:rsidRPr="00B73D32" w:rsidRDefault="004F4926" w:rsidP="004F4926">
            <w:pPr>
              <w:rPr>
                <w:rFonts w:ascii="PTSansRegular" w:hAnsi="PTSansRegular"/>
                <w:color w:val="231F20"/>
                <w:sz w:val="23"/>
                <w:szCs w:val="23"/>
                <w:shd w:val="clear" w:color="auto" w:fill="FFFFFF"/>
              </w:rPr>
            </w:pPr>
          </w:p>
          <w:p w14:paraId="76685D08" w14:textId="78CA4A60" w:rsidR="004F4926" w:rsidRPr="00B73D32" w:rsidRDefault="004F4926" w:rsidP="004F4926">
            <w:r w:rsidRPr="00B73D32">
              <w:rPr>
                <w:rFonts w:ascii="PTSansRegular" w:hAnsi="PTSansRegular"/>
                <w:color w:val="231F20"/>
                <w:sz w:val="23"/>
                <w:szCs w:val="23"/>
              </w:rPr>
              <w:t>проведение обязательных торгов</w:t>
            </w:r>
          </w:p>
        </w:tc>
        <w:tc>
          <w:tcPr>
            <w:tcW w:w="4803" w:type="dxa"/>
          </w:tcPr>
          <w:p w14:paraId="122A2F4F" w14:textId="77777777" w:rsidR="004F4926" w:rsidRPr="004F4926" w:rsidRDefault="004F4926" w:rsidP="004F4926">
            <w:pPr>
              <w:numPr>
                <w:ilvl w:val="0"/>
                <w:numId w:val="1"/>
              </w:numPr>
              <w:tabs>
                <w:tab w:val="clear" w:pos="720"/>
                <w:tab w:val="num" w:pos="295"/>
              </w:tabs>
              <w:ind w:left="295" w:hanging="142"/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4F492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внутреннего контроля;</w:t>
            </w:r>
          </w:p>
          <w:p w14:paraId="7765B3E0" w14:textId="77777777" w:rsidR="004F4926" w:rsidRPr="004F4926" w:rsidRDefault="004F4926" w:rsidP="004F4926">
            <w:pPr>
              <w:numPr>
                <w:ilvl w:val="0"/>
                <w:numId w:val="1"/>
              </w:numPr>
              <w:tabs>
                <w:tab w:val="clear" w:pos="720"/>
                <w:tab w:val="num" w:pos="295"/>
              </w:tabs>
              <w:ind w:left="295" w:hanging="142"/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4F492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квалификации специалистов;</w:t>
            </w:r>
          </w:p>
          <w:p w14:paraId="13B291D6" w14:textId="77777777" w:rsidR="004F4926" w:rsidRPr="004F4926" w:rsidRDefault="004F4926" w:rsidP="004F4926">
            <w:pPr>
              <w:numPr>
                <w:ilvl w:val="0"/>
                <w:numId w:val="1"/>
              </w:numPr>
              <w:tabs>
                <w:tab w:val="clear" w:pos="720"/>
                <w:tab w:val="num" w:pos="295"/>
              </w:tabs>
              <w:ind w:left="295" w:hanging="142"/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4F492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высокая нагрузка сотрудников;</w:t>
            </w:r>
          </w:p>
          <w:p w14:paraId="44918327" w14:textId="77777777" w:rsidR="004F4926" w:rsidRPr="004F4926" w:rsidRDefault="004F4926" w:rsidP="004F4926">
            <w:pPr>
              <w:numPr>
                <w:ilvl w:val="0"/>
                <w:numId w:val="1"/>
              </w:numPr>
              <w:tabs>
                <w:tab w:val="clear" w:pos="720"/>
                <w:tab w:val="num" w:pos="295"/>
              </w:tabs>
              <w:ind w:left="295" w:hanging="142"/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4F492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наличие конфликта интересов у сотрудника, ответственного за проведение торгов;</w:t>
            </w:r>
          </w:p>
          <w:p w14:paraId="1D6142CA" w14:textId="77777777" w:rsidR="004F4926" w:rsidRPr="004F4926" w:rsidRDefault="004F4926" w:rsidP="004F4926">
            <w:pPr>
              <w:numPr>
                <w:ilvl w:val="0"/>
                <w:numId w:val="1"/>
              </w:numPr>
              <w:tabs>
                <w:tab w:val="clear" w:pos="720"/>
                <w:tab w:val="num" w:pos="295"/>
              </w:tabs>
              <w:ind w:left="295" w:hanging="142"/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4F492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отсутствие внутриведомственных регламентов и правил, определяющих порядок проведения торгов, входящего в состав комиссии;</w:t>
            </w:r>
          </w:p>
          <w:p w14:paraId="374C0E22" w14:textId="77777777" w:rsidR="004F4926" w:rsidRPr="004F4926" w:rsidRDefault="004F4926" w:rsidP="004F4926">
            <w:pPr>
              <w:numPr>
                <w:ilvl w:val="0"/>
                <w:numId w:val="1"/>
              </w:numPr>
              <w:tabs>
                <w:tab w:val="clear" w:pos="720"/>
                <w:tab w:val="num" w:pos="295"/>
              </w:tabs>
              <w:ind w:left="295" w:hanging="142"/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4F492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несоблюдение требований законодательства Российской Федерации о контрактной системе в сфере закупок товаров работ, услуг для обеспечения государственных и муниципальных нужд, а также иных актов, регулирующих порядок проведения торгов</w:t>
            </w:r>
          </w:p>
          <w:p w14:paraId="1CC5F538" w14:textId="77777777" w:rsidR="004F4926" w:rsidRDefault="004F4926" w:rsidP="004F4926">
            <w:pPr>
              <w:tabs>
                <w:tab w:val="num" w:pos="295"/>
              </w:tabs>
              <w:ind w:left="295" w:hanging="142"/>
            </w:pPr>
          </w:p>
        </w:tc>
        <w:tc>
          <w:tcPr>
            <w:tcW w:w="2457" w:type="dxa"/>
            <w:vAlign w:val="center"/>
          </w:tcPr>
          <w:p w14:paraId="715D1BD0" w14:textId="567AAFD5" w:rsidR="004F4926" w:rsidRDefault="004F4926" w:rsidP="004F4926">
            <w:r>
              <w:rPr>
                <w:rFonts w:ascii="PTSansRegular" w:hAnsi="PTSansRegular"/>
                <w:color w:val="231F20"/>
                <w:sz w:val="23"/>
                <w:szCs w:val="23"/>
              </w:rPr>
              <w:t>Имеется</w:t>
            </w:r>
          </w:p>
        </w:tc>
        <w:tc>
          <w:tcPr>
            <w:tcW w:w="1984" w:type="dxa"/>
            <w:vAlign w:val="center"/>
          </w:tcPr>
          <w:p w14:paraId="1C00FCCA" w14:textId="3BB85752" w:rsidR="004F4926" w:rsidRDefault="004F4926" w:rsidP="004F4926"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376391" w14:paraId="0119F5E5" w14:textId="77777777" w:rsidTr="00BC0504">
        <w:tc>
          <w:tcPr>
            <w:tcW w:w="562" w:type="dxa"/>
          </w:tcPr>
          <w:p w14:paraId="196B0F8E" w14:textId="62D47530" w:rsidR="00376391" w:rsidRDefault="00332A4B" w:rsidP="00332A4B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3B408AD6" w14:textId="13744B72" w:rsidR="00376391" w:rsidRDefault="00376391" w:rsidP="00376391">
            <w:r>
              <w:rPr>
                <w:rFonts w:ascii="PTSansRegular" w:hAnsi="PTSansRegular"/>
                <w:color w:val="231F20"/>
                <w:sz w:val="23"/>
                <w:szCs w:val="23"/>
              </w:rPr>
              <w:t>Высокий</w:t>
            </w:r>
          </w:p>
        </w:tc>
        <w:tc>
          <w:tcPr>
            <w:tcW w:w="3135" w:type="dxa"/>
            <w:vAlign w:val="center"/>
          </w:tcPr>
          <w:p w14:paraId="361AFBD3" w14:textId="6F7F1334" w:rsidR="00376391" w:rsidRDefault="00376391" w:rsidP="00376391">
            <w:r>
              <w:rPr>
                <w:rFonts w:ascii="PTSansRegular" w:hAnsi="PTSansRegular"/>
                <w:color w:val="231F20"/>
                <w:sz w:val="23"/>
                <w:szCs w:val="23"/>
              </w:rPr>
              <w:t>предоставление преференций</w:t>
            </w:r>
          </w:p>
        </w:tc>
        <w:tc>
          <w:tcPr>
            <w:tcW w:w="4803" w:type="dxa"/>
            <w:vAlign w:val="center"/>
          </w:tcPr>
          <w:p w14:paraId="77D0F0FD" w14:textId="77777777" w:rsidR="00376391" w:rsidRPr="00376391" w:rsidRDefault="00376391" w:rsidP="00376391">
            <w:pPr>
              <w:numPr>
                <w:ilvl w:val="0"/>
                <w:numId w:val="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376391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внутреннего контроля;</w:t>
            </w:r>
          </w:p>
          <w:p w14:paraId="25BA237B" w14:textId="77777777" w:rsidR="00376391" w:rsidRPr="00376391" w:rsidRDefault="00376391" w:rsidP="00376391">
            <w:pPr>
              <w:numPr>
                <w:ilvl w:val="0"/>
                <w:numId w:val="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376391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квалификации специалистов;</w:t>
            </w:r>
          </w:p>
          <w:p w14:paraId="70EFEC0A" w14:textId="77777777" w:rsidR="00376391" w:rsidRPr="00376391" w:rsidRDefault="00376391" w:rsidP="00376391">
            <w:pPr>
              <w:numPr>
                <w:ilvl w:val="0"/>
                <w:numId w:val="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376391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наличие конфликта интересов;</w:t>
            </w:r>
          </w:p>
          <w:p w14:paraId="3F3F2AFA" w14:textId="77777777" w:rsidR="00376391" w:rsidRPr="00376391" w:rsidRDefault="00376391" w:rsidP="00376391">
            <w:pPr>
              <w:numPr>
                <w:ilvl w:val="0"/>
                <w:numId w:val="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376391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lastRenderedPageBreak/>
              <w:t>несоблюдение требований Закона о защите конкуренции.</w:t>
            </w:r>
          </w:p>
          <w:p w14:paraId="443B9D73" w14:textId="115C4FCF" w:rsidR="00376391" w:rsidRDefault="00376391" w:rsidP="00376391"/>
        </w:tc>
        <w:tc>
          <w:tcPr>
            <w:tcW w:w="2457" w:type="dxa"/>
            <w:vAlign w:val="center"/>
          </w:tcPr>
          <w:p w14:paraId="3E142FC6" w14:textId="469DE40C" w:rsidR="00376391" w:rsidRDefault="00376391" w:rsidP="00376391">
            <w:r>
              <w:rPr>
                <w:rFonts w:ascii="PTSansRegular" w:hAnsi="PTSansRegular"/>
                <w:color w:val="231F20"/>
                <w:sz w:val="23"/>
                <w:szCs w:val="23"/>
              </w:rPr>
              <w:lastRenderedPageBreak/>
              <w:t>Имеется</w:t>
            </w:r>
          </w:p>
        </w:tc>
        <w:tc>
          <w:tcPr>
            <w:tcW w:w="1984" w:type="dxa"/>
            <w:vAlign w:val="center"/>
          </w:tcPr>
          <w:p w14:paraId="2779A775" w14:textId="32428C68" w:rsidR="00376391" w:rsidRDefault="00376391" w:rsidP="00376391"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6052F6" w14:paraId="6F27C5C9" w14:textId="77777777" w:rsidTr="00E4301E">
        <w:tc>
          <w:tcPr>
            <w:tcW w:w="562" w:type="dxa"/>
          </w:tcPr>
          <w:p w14:paraId="5BFB031E" w14:textId="0BA0A4B5" w:rsidR="006052F6" w:rsidRDefault="00332A4B" w:rsidP="00332A4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47B38731" w14:textId="658D453A" w:rsidR="006052F6" w:rsidRDefault="006052F6" w:rsidP="006052F6">
            <w:r w:rsidRPr="00045AEC">
              <w:rPr>
                <w:rFonts w:ascii="PTSansRegular" w:hAnsi="PTSansRegular"/>
                <w:color w:val="231F20"/>
                <w:sz w:val="23"/>
                <w:szCs w:val="23"/>
              </w:rPr>
              <w:t>Высокий</w:t>
            </w:r>
          </w:p>
        </w:tc>
        <w:tc>
          <w:tcPr>
            <w:tcW w:w="3135" w:type="dxa"/>
          </w:tcPr>
          <w:p w14:paraId="34B20476" w14:textId="77777777" w:rsidR="006052F6" w:rsidRDefault="006052F6" w:rsidP="006052F6">
            <w:pPr>
              <w:rPr>
                <w:rFonts w:ascii="PTSansRegular" w:hAnsi="PTSansRegular"/>
                <w:color w:val="231F20"/>
                <w:sz w:val="23"/>
                <w:szCs w:val="23"/>
                <w:shd w:val="clear" w:color="auto" w:fill="D4E5EC"/>
              </w:rPr>
            </w:pPr>
            <w:r w:rsidRPr="00045AEC">
              <w:rPr>
                <w:rFonts w:ascii="PTSansRegular" w:hAnsi="PTSansRegular"/>
                <w:color w:val="231F20"/>
                <w:sz w:val="23"/>
                <w:szCs w:val="23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  <w:p w14:paraId="43DF87BE" w14:textId="77777777" w:rsidR="006052F6" w:rsidRDefault="006052F6" w:rsidP="006052F6">
            <w:pPr>
              <w:rPr>
                <w:rFonts w:ascii="PTSansRegular" w:hAnsi="PTSansRegular"/>
                <w:color w:val="231F20"/>
                <w:sz w:val="23"/>
                <w:szCs w:val="23"/>
                <w:shd w:val="clear" w:color="auto" w:fill="D4E5EC"/>
              </w:rPr>
            </w:pPr>
          </w:p>
          <w:p w14:paraId="4D563A51" w14:textId="32931F77" w:rsidR="006052F6" w:rsidRDefault="006052F6" w:rsidP="006052F6">
            <w:r>
              <w:rPr>
                <w:rFonts w:ascii="PTSansRegular" w:hAnsi="PTSansRegular"/>
                <w:color w:val="231F20"/>
                <w:sz w:val="23"/>
                <w:szCs w:val="23"/>
                <w:shd w:val="clear" w:color="auto" w:fill="FFFFFF"/>
              </w:rPr>
              <w:t>проведение конкурсов на получение грантов, субсидий</w:t>
            </w:r>
          </w:p>
        </w:tc>
        <w:tc>
          <w:tcPr>
            <w:tcW w:w="4803" w:type="dxa"/>
          </w:tcPr>
          <w:p w14:paraId="09F57CA9" w14:textId="77777777" w:rsidR="006052F6" w:rsidRPr="006052F6" w:rsidRDefault="006052F6" w:rsidP="006052F6">
            <w:pPr>
              <w:numPr>
                <w:ilvl w:val="0"/>
                <w:numId w:val="4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052F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внутреннего контроля;</w:t>
            </w:r>
          </w:p>
          <w:p w14:paraId="29BC0F76" w14:textId="77777777" w:rsidR="006052F6" w:rsidRPr="006052F6" w:rsidRDefault="006052F6" w:rsidP="006052F6">
            <w:pPr>
              <w:numPr>
                <w:ilvl w:val="0"/>
                <w:numId w:val="4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052F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квалификации специалистов;</w:t>
            </w:r>
          </w:p>
          <w:p w14:paraId="2EA9FC92" w14:textId="77777777" w:rsidR="006052F6" w:rsidRPr="006052F6" w:rsidRDefault="006052F6" w:rsidP="006052F6">
            <w:pPr>
              <w:numPr>
                <w:ilvl w:val="0"/>
                <w:numId w:val="4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052F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наличие конфликта интересов;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</w:t>
            </w:r>
          </w:p>
          <w:p w14:paraId="4A4B2EF0" w14:textId="77777777" w:rsidR="006052F6" w:rsidRPr="006052F6" w:rsidRDefault="006052F6" w:rsidP="006052F6">
            <w:pPr>
              <w:numPr>
                <w:ilvl w:val="0"/>
                <w:numId w:val="4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052F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принятие решений, нарушающих порядок предоставления субсидий за счет средств бюджета Краснодарского края;</w:t>
            </w:r>
          </w:p>
          <w:p w14:paraId="415490BB" w14:textId="77777777" w:rsidR="006052F6" w:rsidRPr="006052F6" w:rsidRDefault="006052F6" w:rsidP="006052F6">
            <w:pPr>
              <w:numPr>
                <w:ilvl w:val="0"/>
                <w:numId w:val="4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052F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предоставление необоснованных преференций при принятии решений о допуске к участию в конкурсном отборе и предоставлении субсидии юридическим лицам;</w:t>
            </w:r>
          </w:p>
          <w:p w14:paraId="64412881" w14:textId="77777777" w:rsidR="006052F6" w:rsidRPr="006052F6" w:rsidRDefault="006052F6" w:rsidP="006052F6">
            <w:pPr>
              <w:numPr>
                <w:ilvl w:val="0"/>
                <w:numId w:val="4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052F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ограничение доступа к информации;</w:t>
            </w:r>
          </w:p>
          <w:p w14:paraId="32BBBD26" w14:textId="77777777" w:rsidR="006052F6" w:rsidRPr="006052F6" w:rsidRDefault="006052F6" w:rsidP="006052F6">
            <w:pPr>
              <w:numPr>
                <w:ilvl w:val="0"/>
                <w:numId w:val="4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052F6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недостаточная подготовка к проведению конкурсного отбора.</w:t>
            </w:r>
          </w:p>
          <w:p w14:paraId="00081543" w14:textId="77777777" w:rsidR="006052F6" w:rsidRDefault="006052F6" w:rsidP="006052F6"/>
        </w:tc>
        <w:tc>
          <w:tcPr>
            <w:tcW w:w="2457" w:type="dxa"/>
            <w:vAlign w:val="center"/>
          </w:tcPr>
          <w:p w14:paraId="51246B07" w14:textId="1EE8472C" w:rsidR="006052F6" w:rsidRDefault="006052F6" w:rsidP="006052F6">
            <w:r>
              <w:rPr>
                <w:rFonts w:ascii="PTSansRegular" w:hAnsi="PTSansRegular"/>
                <w:color w:val="231F20"/>
                <w:sz w:val="23"/>
                <w:szCs w:val="23"/>
              </w:rPr>
              <w:t>Имеется</w:t>
            </w:r>
          </w:p>
        </w:tc>
        <w:tc>
          <w:tcPr>
            <w:tcW w:w="1984" w:type="dxa"/>
            <w:vAlign w:val="center"/>
          </w:tcPr>
          <w:p w14:paraId="7D2AD484" w14:textId="4FFF2B11" w:rsidR="006052F6" w:rsidRDefault="006052F6" w:rsidP="006052F6"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783159" w14:paraId="189D9617" w14:textId="77777777" w:rsidTr="00974FF0">
        <w:tc>
          <w:tcPr>
            <w:tcW w:w="562" w:type="dxa"/>
          </w:tcPr>
          <w:p w14:paraId="63DB9758" w14:textId="2CDB674E" w:rsidR="00783159" w:rsidRDefault="00332A4B" w:rsidP="00332A4B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7A49F763" w14:textId="6F3098BF" w:rsidR="00783159" w:rsidRDefault="00783159" w:rsidP="00783159">
            <w:r>
              <w:rPr>
                <w:rFonts w:ascii="PTSansRegular" w:hAnsi="PTSansRegular"/>
                <w:color w:val="231F20"/>
                <w:sz w:val="23"/>
                <w:szCs w:val="23"/>
              </w:rPr>
              <w:t>Средний</w:t>
            </w:r>
          </w:p>
        </w:tc>
        <w:tc>
          <w:tcPr>
            <w:tcW w:w="3135" w:type="dxa"/>
            <w:vAlign w:val="center"/>
          </w:tcPr>
          <w:p w14:paraId="3660BE90" w14:textId="77777777" w:rsidR="00783159" w:rsidRDefault="00783159" w:rsidP="00783159">
            <w:pPr>
              <w:pStyle w:val="a4"/>
              <w:spacing w:before="0" w:beforeAutospacing="0" w:after="0" w:afterAutospacing="0" w:line="315" w:lineRule="atLeast"/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репутационный риск (ущерб деловой репутации),</w:t>
            </w:r>
          </w:p>
          <w:p w14:paraId="02A48ACD" w14:textId="387B78CC" w:rsidR="00783159" w:rsidRDefault="00783159" w:rsidP="00783159">
            <w:r>
              <w:rPr>
                <w:rFonts w:ascii="PTSansRegular" w:hAnsi="PTSansRegular"/>
                <w:color w:val="231F20"/>
                <w:sz w:val="23"/>
                <w:szCs w:val="23"/>
              </w:rPr>
              <w:t xml:space="preserve">связан с мнением общественности </w:t>
            </w:r>
            <w:r>
              <w:rPr>
                <w:rFonts w:ascii="PTSansRegular" w:hAnsi="PTSansRegular"/>
                <w:color w:val="231F20"/>
                <w:sz w:val="23"/>
                <w:szCs w:val="23"/>
              </w:rPr>
              <w:lastRenderedPageBreak/>
              <w:t>(должностных лиц, партнеров, институтов гражданского общества)</w:t>
            </w:r>
          </w:p>
        </w:tc>
        <w:tc>
          <w:tcPr>
            <w:tcW w:w="4803" w:type="dxa"/>
          </w:tcPr>
          <w:p w14:paraId="14695008" w14:textId="77777777" w:rsidR="00783159" w:rsidRPr="00783159" w:rsidRDefault="00783159" w:rsidP="00783159">
            <w:pPr>
              <w:numPr>
                <w:ilvl w:val="0"/>
                <w:numId w:val="5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783159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lastRenderedPageBreak/>
              <w:t xml:space="preserve">информационное освещение деятельности министерства в СМИ, на официальном сайте министерства и в социальных сетях, влекущее нарушение норм </w:t>
            </w:r>
            <w:r w:rsidRPr="00783159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lastRenderedPageBreak/>
              <w:t>антимонопольного законодательства;</w:t>
            </w:r>
          </w:p>
          <w:p w14:paraId="27301062" w14:textId="77777777" w:rsidR="00783159" w:rsidRPr="00783159" w:rsidRDefault="00783159" w:rsidP="00783159">
            <w:pPr>
              <w:numPr>
                <w:ilvl w:val="0"/>
                <w:numId w:val="5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783159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отсутствие внутреннего контроля за содержанием размещаемого материала;</w:t>
            </w:r>
          </w:p>
          <w:p w14:paraId="79F15265" w14:textId="77777777" w:rsidR="00783159" w:rsidRPr="00783159" w:rsidRDefault="00783159" w:rsidP="00783159">
            <w:pPr>
              <w:numPr>
                <w:ilvl w:val="0"/>
                <w:numId w:val="5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783159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поручения вышестоящего руководства.</w:t>
            </w:r>
          </w:p>
          <w:p w14:paraId="7D6D9B6F" w14:textId="77777777" w:rsidR="00783159" w:rsidRDefault="00783159" w:rsidP="00783159"/>
        </w:tc>
        <w:tc>
          <w:tcPr>
            <w:tcW w:w="2457" w:type="dxa"/>
            <w:vAlign w:val="center"/>
          </w:tcPr>
          <w:p w14:paraId="70F0DDAC" w14:textId="2C3550FB" w:rsidR="00783159" w:rsidRDefault="00783159" w:rsidP="00783159">
            <w:r>
              <w:rPr>
                <w:rFonts w:ascii="PTSansRegular" w:hAnsi="PTSansRegular"/>
                <w:color w:val="231F20"/>
                <w:sz w:val="23"/>
                <w:szCs w:val="23"/>
              </w:rPr>
              <w:lastRenderedPageBreak/>
              <w:t>Имеется</w:t>
            </w:r>
          </w:p>
        </w:tc>
        <w:tc>
          <w:tcPr>
            <w:tcW w:w="1984" w:type="dxa"/>
            <w:vAlign w:val="center"/>
          </w:tcPr>
          <w:p w14:paraId="6374F310" w14:textId="14707C16" w:rsidR="00783159" w:rsidRDefault="00783159" w:rsidP="00783159"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615E1B" w14:paraId="7E740FE8" w14:textId="77777777" w:rsidTr="006E37F5">
        <w:tc>
          <w:tcPr>
            <w:tcW w:w="562" w:type="dxa"/>
          </w:tcPr>
          <w:p w14:paraId="7093ABB2" w14:textId="7816F3F9" w:rsidR="00615E1B" w:rsidRDefault="00332A4B" w:rsidP="00332A4B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14:paraId="6C2EC678" w14:textId="2F4C229B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Средний</w:t>
            </w:r>
          </w:p>
        </w:tc>
        <w:tc>
          <w:tcPr>
            <w:tcW w:w="3135" w:type="dxa"/>
            <w:vAlign w:val="center"/>
          </w:tcPr>
          <w:p w14:paraId="5980DEB5" w14:textId="16D85E31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несвоевременная подготовка ответов на обращения граждан и юридических лиц</w:t>
            </w:r>
          </w:p>
        </w:tc>
        <w:tc>
          <w:tcPr>
            <w:tcW w:w="4803" w:type="dxa"/>
            <w:vAlign w:val="center"/>
          </w:tcPr>
          <w:p w14:paraId="6072214A" w14:textId="77777777" w:rsidR="00615E1B" w:rsidRPr="00783159" w:rsidRDefault="00615E1B" w:rsidP="00615E1B">
            <w:pPr>
              <w:numPr>
                <w:ilvl w:val="0"/>
                <w:numId w:val="7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783159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внутреннего контроля;</w:t>
            </w:r>
          </w:p>
          <w:p w14:paraId="15740135" w14:textId="77777777" w:rsidR="00615E1B" w:rsidRPr="00783159" w:rsidRDefault="00615E1B" w:rsidP="00615E1B">
            <w:pPr>
              <w:numPr>
                <w:ilvl w:val="0"/>
                <w:numId w:val="7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783159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квалификации специалистов;</w:t>
            </w:r>
          </w:p>
          <w:p w14:paraId="1E5F0242" w14:textId="77777777" w:rsidR="00615E1B" w:rsidRPr="00783159" w:rsidRDefault="00615E1B" w:rsidP="00615E1B">
            <w:pPr>
              <w:numPr>
                <w:ilvl w:val="0"/>
                <w:numId w:val="7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783159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высокая нагрузка сотрудников;</w:t>
            </w:r>
          </w:p>
          <w:p w14:paraId="3FEC9BFF" w14:textId="1ECD7C1E" w:rsidR="00615E1B" w:rsidRDefault="00615E1B" w:rsidP="00615E1B"/>
        </w:tc>
        <w:tc>
          <w:tcPr>
            <w:tcW w:w="2457" w:type="dxa"/>
            <w:vAlign w:val="center"/>
          </w:tcPr>
          <w:p w14:paraId="73296218" w14:textId="7777B887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Имеется</w:t>
            </w:r>
          </w:p>
        </w:tc>
        <w:tc>
          <w:tcPr>
            <w:tcW w:w="1984" w:type="dxa"/>
            <w:vAlign w:val="center"/>
          </w:tcPr>
          <w:p w14:paraId="15A53878" w14:textId="46EEFCD7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615E1B" w14:paraId="0BDD04D0" w14:textId="77777777" w:rsidTr="006E37F5">
        <w:tc>
          <w:tcPr>
            <w:tcW w:w="562" w:type="dxa"/>
          </w:tcPr>
          <w:p w14:paraId="45933FF3" w14:textId="239A9317" w:rsidR="00615E1B" w:rsidRDefault="00332A4B" w:rsidP="00332A4B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14:paraId="3D09331B" w14:textId="49EC860F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Средний</w:t>
            </w:r>
          </w:p>
        </w:tc>
        <w:tc>
          <w:tcPr>
            <w:tcW w:w="3135" w:type="dxa"/>
            <w:vAlign w:val="center"/>
          </w:tcPr>
          <w:p w14:paraId="24FA66E1" w14:textId="11DFD022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необоснованный отказ в предоставлении государственной или муниципальной услуги</w:t>
            </w:r>
          </w:p>
        </w:tc>
        <w:tc>
          <w:tcPr>
            <w:tcW w:w="4803" w:type="dxa"/>
          </w:tcPr>
          <w:p w14:paraId="2C164EF8" w14:textId="77777777" w:rsidR="00615E1B" w:rsidRPr="00615E1B" w:rsidRDefault="00615E1B" w:rsidP="00615E1B">
            <w:pPr>
              <w:numPr>
                <w:ilvl w:val="0"/>
                <w:numId w:val="8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внутреннего контроля;</w:t>
            </w:r>
          </w:p>
          <w:p w14:paraId="6EE041F4" w14:textId="77777777" w:rsidR="00615E1B" w:rsidRPr="00615E1B" w:rsidRDefault="00615E1B" w:rsidP="00615E1B">
            <w:pPr>
              <w:numPr>
                <w:ilvl w:val="0"/>
                <w:numId w:val="8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квалификации специалистов;</w:t>
            </w:r>
          </w:p>
          <w:p w14:paraId="2C4F20E2" w14:textId="77777777" w:rsidR="00615E1B" w:rsidRPr="00615E1B" w:rsidRDefault="00615E1B" w:rsidP="00615E1B">
            <w:pPr>
              <w:numPr>
                <w:ilvl w:val="0"/>
                <w:numId w:val="8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высокая нагрузка сотрудников;</w:t>
            </w:r>
          </w:p>
          <w:p w14:paraId="72AD3FA9" w14:textId="77777777" w:rsidR="00615E1B" w:rsidRPr="00615E1B" w:rsidRDefault="00615E1B" w:rsidP="00615E1B">
            <w:pPr>
              <w:numPr>
                <w:ilvl w:val="0"/>
                <w:numId w:val="8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наличие конфликта интересов;</w:t>
            </w:r>
          </w:p>
          <w:p w14:paraId="7B70341F" w14:textId="77777777" w:rsidR="00615E1B" w:rsidRPr="00615E1B" w:rsidRDefault="00615E1B" w:rsidP="00615E1B">
            <w:pPr>
              <w:numPr>
                <w:ilvl w:val="0"/>
                <w:numId w:val="8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ослабление контроля за предоставлением государственной или муниципальной услуги.</w:t>
            </w:r>
          </w:p>
          <w:p w14:paraId="354997F0" w14:textId="77777777" w:rsidR="00615E1B" w:rsidRDefault="00615E1B" w:rsidP="00615E1B"/>
        </w:tc>
        <w:tc>
          <w:tcPr>
            <w:tcW w:w="2457" w:type="dxa"/>
            <w:vAlign w:val="center"/>
          </w:tcPr>
          <w:p w14:paraId="63568FA0" w14:textId="5966B03A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Имеется</w:t>
            </w:r>
          </w:p>
        </w:tc>
        <w:tc>
          <w:tcPr>
            <w:tcW w:w="1984" w:type="dxa"/>
            <w:vAlign w:val="center"/>
          </w:tcPr>
          <w:p w14:paraId="0AD0EB3C" w14:textId="53837F08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615E1B" w14:paraId="4C1740B0" w14:textId="77777777" w:rsidTr="006E37F5">
        <w:tc>
          <w:tcPr>
            <w:tcW w:w="562" w:type="dxa"/>
          </w:tcPr>
          <w:p w14:paraId="045B3AF1" w14:textId="7C09A81A" w:rsidR="00615E1B" w:rsidRDefault="00332A4B" w:rsidP="00332A4B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14:paraId="3AF0DEC2" w14:textId="0595417D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Низкий</w:t>
            </w:r>
          </w:p>
        </w:tc>
        <w:tc>
          <w:tcPr>
            <w:tcW w:w="3135" w:type="dxa"/>
            <w:vAlign w:val="center"/>
          </w:tcPr>
          <w:p w14:paraId="459E7C96" w14:textId="49FDFD6D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наличие комплаенс-рисков в действующих нормативных правовых актах</w:t>
            </w:r>
          </w:p>
        </w:tc>
        <w:tc>
          <w:tcPr>
            <w:tcW w:w="4803" w:type="dxa"/>
          </w:tcPr>
          <w:p w14:paraId="6C1E649A" w14:textId="1594C3AE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  <w:shd w:val="clear" w:color="auto" w:fill="FFFFFF"/>
              </w:rPr>
              <w:t>разработка правовых актов без учета положений статей 15 и 16 Федерального закона от 26 июля 2006 г. № 135-ФЗ «О защите конкуренции».</w:t>
            </w:r>
          </w:p>
        </w:tc>
        <w:tc>
          <w:tcPr>
            <w:tcW w:w="2457" w:type="dxa"/>
            <w:vAlign w:val="center"/>
          </w:tcPr>
          <w:p w14:paraId="6506472D" w14:textId="76AD2733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Имеется</w:t>
            </w:r>
          </w:p>
        </w:tc>
        <w:tc>
          <w:tcPr>
            <w:tcW w:w="1984" w:type="dxa"/>
            <w:vAlign w:val="center"/>
          </w:tcPr>
          <w:p w14:paraId="3CE58475" w14:textId="6BC5D2CD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615E1B" w14:paraId="08B8567C" w14:textId="77777777" w:rsidTr="00471F55">
        <w:tc>
          <w:tcPr>
            <w:tcW w:w="562" w:type="dxa"/>
          </w:tcPr>
          <w:p w14:paraId="15BFDED5" w14:textId="1982E9FB" w:rsidR="00615E1B" w:rsidRDefault="00332A4B" w:rsidP="00332A4B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14:paraId="7CD43D22" w14:textId="40F76936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Низкий</w:t>
            </w:r>
          </w:p>
        </w:tc>
        <w:tc>
          <w:tcPr>
            <w:tcW w:w="3135" w:type="dxa"/>
            <w:vAlign w:val="center"/>
          </w:tcPr>
          <w:p w14:paraId="753A448C" w14:textId="6E8C031F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 xml:space="preserve">разработка нормативных правовых актов, регламентирующих деятельность органа власти, органов местного самоуправления </w:t>
            </w:r>
            <w:r>
              <w:rPr>
                <w:rFonts w:ascii="PTSansRegular" w:hAnsi="PTSansRegular"/>
                <w:color w:val="231F20"/>
                <w:sz w:val="23"/>
                <w:szCs w:val="23"/>
              </w:rPr>
              <w:lastRenderedPageBreak/>
              <w:t>муниципального образования</w:t>
            </w:r>
          </w:p>
        </w:tc>
        <w:tc>
          <w:tcPr>
            <w:tcW w:w="4803" w:type="dxa"/>
            <w:vAlign w:val="center"/>
          </w:tcPr>
          <w:p w14:paraId="5764B129" w14:textId="0C60B98C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lastRenderedPageBreak/>
              <w:t>разработка правовых актов без учета положений статей 15 и 16 Федерального закона от 26 июля 2006 г. № 135-ФЗ «О защите конкуренции».</w:t>
            </w:r>
          </w:p>
        </w:tc>
        <w:tc>
          <w:tcPr>
            <w:tcW w:w="2457" w:type="dxa"/>
            <w:vAlign w:val="center"/>
          </w:tcPr>
          <w:p w14:paraId="4CED46F0" w14:textId="1F34E54E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Имеется</w:t>
            </w:r>
          </w:p>
        </w:tc>
        <w:tc>
          <w:tcPr>
            <w:tcW w:w="1984" w:type="dxa"/>
            <w:vAlign w:val="center"/>
          </w:tcPr>
          <w:p w14:paraId="45C7453F" w14:textId="4B4DAB4A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615E1B" w14:paraId="6941948F" w14:textId="77777777" w:rsidTr="00E520FF">
        <w:tc>
          <w:tcPr>
            <w:tcW w:w="562" w:type="dxa"/>
          </w:tcPr>
          <w:p w14:paraId="6258168D" w14:textId="4E56F176" w:rsidR="00615E1B" w:rsidRDefault="00332A4B" w:rsidP="00332A4B">
            <w:pPr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14:paraId="6865FB3C" w14:textId="7C71E067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Низкий</w:t>
            </w:r>
          </w:p>
        </w:tc>
        <w:tc>
          <w:tcPr>
            <w:tcW w:w="3135" w:type="dxa"/>
            <w:vAlign w:val="center"/>
          </w:tcPr>
          <w:p w14:paraId="2B641433" w14:textId="37BACF52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создание и контроль деятельности подведомственных учреждений, хозяйственных обществ</w:t>
            </w:r>
          </w:p>
        </w:tc>
        <w:tc>
          <w:tcPr>
            <w:tcW w:w="4803" w:type="dxa"/>
          </w:tcPr>
          <w:p w14:paraId="79E5CFAA" w14:textId="77777777" w:rsidR="00615E1B" w:rsidRPr="00615E1B" w:rsidRDefault="00615E1B" w:rsidP="00615E1B">
            <w:pPr>
              <w:numPr>
                <w:ilvl w:val="0"/>
                <w:numId w:val="9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внутреннего контроля;</w:t>
            </w:r>
          </w:p>
          <w:p w14:paraId="005C97AF" w14:textId="77777777" w:rsidR="00615E1B" w:rsidRPr="00615E1B" w:rsidRDefault="00615E1B" w:rsidP="00615E1B">
            <w:pPr>
              <w:numPr>
                <w:ilvl w:val="0"/>
                <w:numId w:val="9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квалификации специалистов;</w:t>
            </w:r>
          </w:p>
          <w:p w14:paraId="7B33CFD7" w14:textId="77777777" w:rsidR="00615E1B" w:rsidRPr="00615E1B" w:rsidRDefault="00615E1B" w:rsidP="00615E1B">
            <w:pPr>
              <w:numPr>
                <w:ilvl w:val="0"/>
                <w:numId w:val="9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несоблюдение требований законодательства, в том числе Закона о некоммерческих организациях, БК РФ и т.д.</w:t>
            </w:r>
          </w:p>
          <w:p w14:paraId="3967B57B" w14:textId="77777777" w:rsidR="00615E1B" w:rsidRDefault="00615E1B" w:rsidP="00615E1B"/>
        </w:tc>
        <w:tc>
          <w:tcPr>
            <w:tcW w:w="2457" w:type="dxa"/>
            <w:vAlign w:val="center"/>
          </w:tcPr>
          <w:p w14:paraId="5AA9F810" w14:textId="12EBF588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Имеется</w:t>
            </w:r>
          </w:p>
        </w:tc>
        <w:tc>
          <w:tcPr>
            <w:tcW w:w="1984" w:type="dxa"/>
            <w:vAlign w:val="center"/>
          </w:tcPr>
          <w:p w14:paraId="459E697C" w14:textId="01371B5B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615E1B" w14:paraId="5EDAC16F" w14:textId="77777777" w:rsidTr="00781805">
        <w:tc>
          <w:tcPr>
            <w:tcW w:w="562" w:type="dxa"/>
          </w:tcPr>
          <w:p w14:paraId="2D390EC5" w14:textId="22C71186" w:rsidR="00615E1B" w:rsidRDefault="00332A4B" w:rsidP="00332A4B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14:paraId="00F8697F" w14:textId="1C8374ED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Низкий</w:t>
            </w:r>
          </w:p>
        </w:tc>
        <w:tc>
          <w:tcPr>
            <w:tcW w:w="3135" w:type="dxa"/>
            <w:vAlign w:val="center"/>
          </w:tcPr>
          <w:p w14:paraId="54F3DD04" w14:textId="7A295799" w:rsidR="00615E1B" w:rsidRDefault="00615E1B" w:rsidP="00615E1B">
            <w:r>
              <w:rPr>
                <w:rFonts w:ascii="PTSansRegular" w:hAnsi="PTSansRegular"/>
                <w:color w:val="231F20"/>
                <w:sz w:val="23"/>
                <w:szCs w:val="23"/>
              </w:rPr>
              <w:t>нарушение положений антимонопольного законодательства при подписании соглашений о сотрудничестве между органом власти или органами местного самоуправления муниципального образования и хозяйствующими субъектами</w:t>
            </w:r>
          </w:p>
        </w:tc>
        <w:tc>
          <w:tcPr>
            <w:tcW w:w="4803" w:type="dxa"/>
          </w:tcPr>
          <w:p w14:paraId="0F93B304" w14:textId="77777777" w:rsidR="00615E1B" w:rsidRPr="00615E1B" w:rsidRDefault="00615E1B" w:rsidP="00615E1B">
            <w:pPr>
              <w:numPr>
                <w:ilvl w:val="0"/>
                <w:numId w:val="10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коррупционная составляющая (умысел);</w:t>
            </w:r>
          </w:p>
          <w:p w14:paraId="30474C10" w14:textId="77777777" w:rsidR="00615E1B" w:rsidRPr="00615E1B" w:rsidRDefault="00615E1B" w:rsidP="00615E1B">
            <w:pPr>
              <w:numPr>
                <w:ilvl w:val="0"/>
                <w:numId w:val="10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конфликт интересов;</w:t>
            </w:r>
          </w:p>
          <w:p w14:paraId="3A3DD0B6" w14:textId="77777777" w:rsidR="00615E1B" w:rsidRPr="00615E1B" w:rsidRDefault="00615E1B" w:rsidP="00615E1B">
            <w:pPr>
              <w:numPr>
                <w:ilvl w:val="0"/>
                <w:numId w:val="10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нарушение порядка подготовки и подписания соглашения;</w:t>
            </w:r>
          </w:p>
          <w:p w14:paraId="707CBA38" w14:textId="77777777" w:rsidR="00615E1B" w:rsidRPr="00615E1B" w:rsidRDefault="00615E1B" w:rsidP="00615E1B">
            <w:pPr>
              <w:numPr>
                <w:ilvl w:val="0"/>
                <w:numId w:val="10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отсутствие достаточной квалификации сотрудников;</w:t>
            </w:r>
          </w:p>
          <w:p w14:paraId="7C00E9F4" w14:textId="77777777" w:rsidR="00615E1B" w:rsidRPr="00615E1B" w:rsidRDefault="00615E1B" w:rsidP="00615E1B">
            <w:pPr>
              <w:numPr>
                <w:ilvl w:val="0"/>
                <w:numId w:val="10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высокая нагрузка сотрудников;</w:t>
            </w:r>
          </w:p>
          <w:p w14:paraId="4A1C4055" w14:textId="77777777" w:rsidR="00615E1B" w:rsidRPr="00615E1B" w:rsidRDefault="00615E1B" w:rsidP="00615E1B">
            <w:pPr>
              <w:numPr>
                <w:ilvl w:val="0"/>
                <w:numId w:val="10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получение недостоверной информации для принятия решения.</w:t>
            </w:r>
          </w:p>
          <w:p w14:paraId="2A72BEEB" w14:textId="77777777" w:rsidR="00615E1B" w:rsidRDefault="00615E1B" w:rsidP="00615E1B"/>
        </w:tc>
        <w:tc>
          <w:tcPr>
            <w:tcW w:w="2457" w:type="dxa"/>
            <w:vAlign w:val="center"/>
          </w:tcPr>
          <w:p w14:paraId="0F1301DC" w14:textId="3A212755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Имеется</w:t>
            </w:r>
          </w:p>
        </w:tc>
        <w:tc>
          <w:tcPr>
            <w:tcW w:w="1984" w:type="dxa"/>
            <w:vAlign w:val="center"/>
          </w:tcPr>
          <w:p w14:paraId="673B0925" w14:textId="24EEC757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615E1B" w14:paraId="0E33426A" w14:textId="77777777" w:rsidTr="00781805">
        <w:tc>
          <w:tcPr>
            <w:tcW w:w="562" w:type="dxa"/>
          </w:tcPr>
          <w:p w14:paraId="2507A0AA" w14:textId="384A716C" w:rsidR="00615E1B" w:rsidRDefault="00332A4B" w:rsidP="00332A4B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14:paraId="30AB53C1" w14:textId="68E3B528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Низкий</w:t>
            </w:r>
          </w:p>
        </w:tc>
        <w:tc>
          <w:tcPr>
            <w:tcW w:w="3135" w:type="dxa"/>
            <w:vAlign w:val="center"/>
          </w:tcPr>
          <w:p w14:paraId="37B8DD38" w14:textId="02A9BFF6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непринятие мер по предотвращению или урегулированию конфликта интересов при исполнении должностными лицами своих обязанностей</w:t>
            </w:r>
          </w:p>
        </w:tc>
        <w:tc>
          <w:tcPr>
            <w:tcW w:w="4803" w:type="dxa"/>
          </w:tcPr>
          <w:p w14:paraId="65FB0568" w14:textId="77777777" w:rsidR="00615E1B" w:rsidRPr="00615E1B" w:rsidRDefault="00615E1B" w:rsidP="00615E1B">
            <w:pPr>
              <w:numPr>
                <w:ilvl w:val="0"/>
                <w:numId w:val="11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осуществление отдельных функций или принятие кадровых решений в отношении лиц, с которыми связана личная заинтересованность;</w:t>
            </w:r>
          </w:p>
          <w:p w14:paraId="6A0B4F74" w14:textId="77777777" w:rsidR="00615E1B" w:rsidRPr="00615E1B" w:rsidRDefault="00615E1B" w:rsidP="00615E1B">
            <w:pPr>
              <w:numPr>
                <w:ilvl w:val="0"/>
                <w:numId w:val="11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нарушение запретов и ограничений, установленных антикоррупционным законодательством.</w:t>
            </w:r>
          </w:p>
          <w:p w14:paraId="4A0B7978" w14:textId="77777777" w:rsidR="00615E1B" w:rsidRDefault="00615E1B" w:rsidP="00615E1B"/>
        </w:tc>
        <w:tc>
          <w:tcPr>
            <w:tcW w:w="2457" w:type="dxa"/>
            <w:vAlign w:val="center"/>
          </w:tcPr>
          <w:p w14:paraId="353FDF6A" w14:textId="3661AC6E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14:paraId="6E6AB1C8" w14:textId="5C20D133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Отсутствует</w:t>
            </w:r>
          </w:p>
        </w:tc>
      </w:tr>
      <w:tr w:rsidR="00615E1B" w14:paraId="7AE69524" w14:textId="77777777" w:rsidTr="00781805">
        <w:tc>
          <w:tcPr>
            <w:tcW w:w="562" w:type="dxa"/>
          </w:tcPr>
          <w:p w14:paraId="353E8386" w14:textId="60EEF578" w:rsidR="00615E1B" w:rsidRDefault="00332A4B" w:rsidP="00332A4B">
            <w:pPr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14:paraId="3A4870B0" w14:textId="707A375E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Низкий</w:t>
            </w:r>
          </w:p>
        </w:tc>
        <w:tc>
          <w:tcPr>
            <w:tcW w:w="3135" w:type="dxa"/>
            <w:vAlign w:val="center"/>
          </w:tcPr>
          <w:p w14:paraId="0817F4F2" w14:textId="1BAB079D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 xml:space="preserve">незаконное привлечение физических и юридических </w:t>
            </w:r>
            <w:r>
              <w:rPr>
                <w:rFonts w:ascii="PTSansRegular" w:hAnsi="PTSansRegular"/>
                <w:color w:val="231F20"/>
                <w:sz w:val="23"/>
                <w:szCs w:val="23"/>
              </w:rPr>
              <w:lastRenderedPageBreak/>
              <w:t>лиц к административной ответственности при осуществлении контроля закупок</w:t>
            </w:r>
          </w:p>
        </w:tc>
        <w:tc>
          <w:tcPr>
            <w:tcW w:w="4803" w:type="dxa"/>
          </w:tcPr>
          <w:p w14:paraId="15F272B9" w14:textId="77777777" w:rsidR="00615E1B" w:rsidRPr="00615E1B" w:rsidRDefault="00615E1B" w:rsidP="00615E1B">
            <w:pPr>
              <w:numPr>
                <w:ilvl w:val="0"/>
                <w:numId w:val="12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lastRenderedPageBreak/>
              <w:t>недостаточный уровень внутреннего контроля;</w:t>
            </w:r>
          </w:p>
          <w:p w14:paraId="1127E11A" w14:textId="77777777" w:rsidR="00615E1B" w:rsidRPr="00615E1B" w:rsidRDefault="00615E1B" w:rsidP="00615E1B">
            <w:pPr>
              <w:numPr>
                <w:ilvl w:val="0"/>
                <w:numId w:val="12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lastRenderedPageBreak/>
              <w:t>недостаточный уровень квалификации специалистов;</w:t>
            </w:r>
          </w:p>
          <w:p w14:paraId="41F35745" w14:textId="77777777" w:rsidR="00615E1B" w:rsidRPr="00615E1B" w:rsidRDefault="00615E1B" w:rsidP="00615E1B">
            <w:pPr>
              <w:numPr>
                <w:ilvl w:val="0"/>
                <w:numId w:val="12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несоблюдение положений антимонопольного законодательства.</w:t>
            </w:r>
          </w:p>
          <w:p w14:paraId="1A1C95B3" w14:textId="77777777" w:rsidR="00615E1B" w:rsidRDefault="00615E1B" w:rsidP="00615E1B"/>
        </w:tc>
        <w:tc>
          <w:tcPr>
            <w:tcW w:w="2457" w:type="dxa"/>
            <w:vAlign w:val="center"/>
          </w:tcPr>
          <w:p w14:paraId="55A7A6D4" w14:textId="2EBC2215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lastRenderedPageBreak/>
              <w:t>Имеется</w:t>
            </w:r>
          </w:p>
        </w:tc>
        <w:tc>
          <w:tcPr>
            <w:tcW w:w="1984" w:type="dxa"/>
            <w:vAlign w:val="center"/>
          </w:tcPr>
          <w:p w14:paraId="1BB7F2B4" w14:textId="027450C8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  <w:tr w:rsidR="00615E1B" w14:paraId="339692B4" w14:textId="77777777" w:rsidTr="00781805">
        <w:tc>
          <w:tcPr>
            <w:tcW w:w="562" w:type="dxa"/>
          </w:tcPr>
          <w:p w14:paraId="764F6668" w14:textId="5E5F249A" w:rsidR="00615E1B" w:rsidRDefault="00332A4B" w:rsidP="00332A4B">
            <w:pPr>
              <w:jc w:val="center"/>
            </w:pPr>
            <w:r>
              <w:t>13</w:t>
            </w:r>
          </w:p>
        </w:tc>
        <w:tc>
          <w:tcPr>
            <w:tcW w:w="1418" w:type="dxa"/>
            <w:vAlign w:val="center"/>
          </w:tcPr>
          <w:p w14:paraId="5F189A3E" w14:textId="15AB371E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Низкий</w:t>
            </w:r>
          </w:p>
        </w:tc>
        <w:tc>
          <w:tcPr>
            <w:tcW w:w="3135" w:type="dxa"/>
            <w:vAlign w:val="center"/>
          </w:tcPr>
          <w:p w14:paraId="4DE21D1B" w14:textId="646E2B20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нарушение порядка предоставления государственной или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4803" w:type="dxa"/>
          </w:tcPr>
          <w:p w14:paraId="5A3DBE47" w14:textId="77777777" w:rsidR="00615E1B" w:rsidRPr="00615E1B" w:rsidRDefault="00615E1B" w:rsidP="00615E1B">
            <w:pPr>
              <w:numPr>
                <w:ilvl w:val="0"/>
                <w:numId w:val="1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внутреннего контроля;</w:t>
            </w:r>
          </w:p>
          <w:p w14:paraId="0DB9838F" w14:textId="77777777" w:rsidR="00615E1B" w:rsidRPr="00615E1B" w:rsidRDefault="00615E1B" w:rsidP="00615E1B">
            <w:pPr>
              <w:numPr>
                <w:ilvl w:val="0"/>
                <w:numId w:val="1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недостаточный уровень квалификации специалистов;</w:t>
            </w:r>
          </w:p>
          <w:p w14:paraId="20F8CFA8" w14:textId="77777777" w:rsidR="00615E1B" w:rsidRPr="00615E1B" w:rsidRDefault="00615E1B" w:rsidP="00615E1B">
            <w:pPr>
              <w:numPr>
                <w:ilvl w:val="0"/>
                <w:numId w:val="1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высокая нагрузка сотрудников;</w:t>
            </w:r>
          </w:p>
          <w:p w14:paraId="0443172F" w14:textId="77777777" w:rsidR="00615E1B" w:rsidRPr="00615E1B" w:rsidRDefault="00615E1B" w:rsidP="00615E1B">
            <w:pPr>
              <w:numPr>
                <w:ilvl w:val="0"/>
                <w:numId w:val="1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наличие конфликта интересов;</w:t>
            </w:r>
          </w:p>
          <w:p w14:paraId="1CDD0D90" w14:textId="77777777" w:rsidR="00615E1B" w:rsidRPr="00615E1B" w:rsidRDefault="00615E1B" w:rsidP="00615E1B">
            <w:pPr>
              <w:numPr>
                <w:ilvl w:val="0"/>
                <w:numId w:val="1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отсутствие регламента предоставления конкретной муниципальной услуги;</w:t>
            </w:r>
          </w:p>
          <w:p w14:paraId="675E1C96" w14:textId="77777777" w:rsidR="00615E1B" w:rsidRPr="00615E1B" w:rsidRDefault="00615E1B" w:rsidP="00615E1B">
            <w:pPr>
              <w:numPr>
                <w:ilvl w:val="0"/>
                <w:numId w:val="13"/>
              </w:numPr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</w:pPr>
            <w:r w:rsidRPr="00615E1B">
              <w:rPr>
                <w:rFonts w:ascii="PTSansRegular" w:eastAsia="Times New Roman" w:hAnsi="PTSansRegular" w:cs="Times New Roman"/>
                <w:color w:val="231F20"/>
                <w:sz w:val="23"/>
                <w:szCs w:val="23"/>
                <w:lang w:eastAsia="ru-RU"/>
              </w:rPr>
              <w:t>ослабление контроля за предоставлением муниципальной услуги.</w:t>
            </w:r>
          </w:p>
          <w:p w14:paraId="768373D1" w14:textId="77777777" w:rsidR="00615E1B" w:rsidRDefault="00615E1B" w:rsidP="00615E1B"/>
        </w:tc>
        <w:tc>
          <w:tcPr>
            <w:tcW w:w="2457" w:type="dxa"/>
            <w:vAlign w:val="center"/>
          </w:tcPr>
          <w:p w14:paraId="2BFEFF0E" w14:textId="434BB144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Имеется</w:t>
            </w:r>
          </w:p>
        </w:tc>
        <w:tc>
          <w:tcPr>
            <w:tcW w:w="1984" w:type="dxa"/>
            <w:vAlign w:val="center"/>
          </w:tcPr>
          <w:p w14:paraId="708B85BD" w14:textId="49DC68C7" w:rsidR="00615E1B" w:rsidRDefault="00615E1B" w:rsidP="00615E1B">
            <w:pPr>
              <w:rPr>
                <w:rFonts w:ascii="PTSansRegular" w:hAnsi="PTSansRegular"/>
                <w:color w:val="231F20"/>
                <w:sz w:val="23"/>
                <w:szCs w:val="23"/>
              </w:rPr>
            </w:pPr>
            <w:r>
              <w:rPr>
                <w:rFonts w:ascii="PTSansRegular" w:hAnsi="PTSansRegular"/>
                <w:color w:val="231F20"/>
                <w:sz w:val="23"/>
                <w:szCs w:val="23"/>
              </w:rPr>
              <w:t>Присутствует</w:t>
            </w:r>
          </w:p>
        </w:tc>
      </w:tr>
    </w:tbl>
    <w:p w14:paraId="7B4DCF67" w14:textId="77777777" w:rsidR="005E7362" w:rsidRDefault="005E7362"/>
    <w:sectPr w:rsidR="005E7362" w:rsidSect="00A24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415"/>
    <w:multiLevelType w:val="multilevel"/>
    <w:tmpl w:val="FC84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07D5D"/>
    <w:multiLevelType w:val="multilevel"/>
    <w:tmpl w:val="4716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84D97"/>
    <w:multiLevelType w:val="multilevel"/>
    <w:tmpl w:val="BA9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05342"/>
    <w:multiLevelType w:val="multilevel"/>
    <w:tmpl w:val="93D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578D6"/>
    <w:multiLevelType w:val="multilevel"/>
    <w:tmpl w:val="06A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95D89"/>
    <w:multiLevelType w:val="multilevel"/>
    <w:tmpl w:val="0FC0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F407B2"/>
    <w:multiLevelType w:val="multilevel"/>
    <w:tmpl w:val="D47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125E3"/>
    <w:multiLevelType w:val="multilevel"/>
    <w:tmpl w:val="457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47530"/>
    <w:multiLevelType w:val="multilevel"/>
    <w:tmpl w:val="0BD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05E9B"/>
    <w:multiLevelType w:val="multilevel"/>
    <w:tmpl w:val="6BDE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53E6E"/>
    <w:multiLevelType w:val="multilevel"/>
    <w:tmpl w:val="AB50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C5250"/>
    <w:multiLevelType w:val="multilevel"/>
    <w:tmpl w:val="2E7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757FD"/>
    <w:multiLevelType w:val="multilevel"/>
    <w:tmpl w:val="7DBA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C"/>
    <w:rsid w:val="000235CC"/>
    <w:rsid w:val="00045AEC"/>
    <w:rsid w:val="00195DAC"/>
    <w:rsid w:val="00332A4B"/>
    <w:rsid w:val="00376391"/>
    <w:rsid w:val="0048428A"/>
    <w:rsid w:val="004F4926"/>
    <w:rsid w:val="005E7362"/>
    <w:rsid w:val="006052F6"/>
    <w:rsid w:val="00615E1B"/>
    <w:rsid w:val="006B09B2"/>
    <w:rsid w:val="00783159"/>
    <w:rsid w:val="00A240EA"/>
    <w:rsid w:val="00B73D32"/>
    <w:rsid w:val="00E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8AE7"/>
  <w15:chartTrackingRefBased/>
  <w15:docId w15:val="{09C8888A-4222-4406-9B66-A2CA8AB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8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6A12-1EC4-4521-BF3E-3E2C2BE2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Силидис Елена Васильевна</dc:creator>
  <cp:keywords/>
  <dc:description/>
  <cp:lastModifiedBy>Силидис Елена Васильевна</cp:lastModifiedBy>
  <cp:revision>19</cp:revision>
  <dcterms:created xsi:type="dcterms:W3CDTF">2021-04-09T09:48:00Z</dcterms:created>
  <dcterms:modified xsi:type="dcterms:W3CDTF">2021-04-09T11:14:00Z</dcterms:modified>
</cp:coreProperties>
</file>